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85FB1" w14:textId="5A4F7BFE" w:rsidR="006E1CFB" w:rsidRPr="002B6FC0" w:rsidRDefault="00BF1716" w:rsidP="00000B95">
      <w:pPr>
        <w:rPr>
          <w:rFonts w:ascii="Open Sans" w:hAnsi="Open Sans" w:cs="Open Sans"/>
          <w:sz w:val="18"/>
          <w:szCs w:val="18"/>
        </w:rPr>
      </w:pPr>
      <w:r w:rsidRPr="002B6FC0">
        <w:rPr>
          <w:noProof/>
        </w:rPr>
        <w:drawing>
          <wp:anchor distT="0" distB="0" distL="114300" distR="114300" simplePos="0" relativeHeight="251661312" behindDoc="0" locked="0" layoutInCell="1" allowOverlap="1" wp14:anchorId="448091D5" wp14:editId="57A1F7FF">
            <wp:simplePos x="0" y="0"/>
            <wp:positionH relativeFrom="column">
              <wp:posOffset>2257425</wp:posOffset>
            </wp:positionH>
            <wp:positionV relativeFrom="paragraph">
              <wp:posOffset>-105410</wp:posOffset>
            </wp:positionV>
            <wp:extent cx="3600000" cy="708452"/>
            <wp:effectExtent l="0" t="0" r="635" b="0"/>
            <wp:wrapNone/>
            <wp:docPr id="6" name="Image 6" descr="C:\Users\3128251\Desktop\LOGOQ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C:\Users\3128251\Desktop\LOGOQUA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7084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FC0">
        <w:rPr>
          <w:noProof/>
        </w:rPr>
        <w:drawing>
          <wp:inline distT="0" distB="0" distL="0" distR="0" wp14:anchorId="2B3BE903" wp14:editId="465A1AF1">
            <wp:extent cx="1440000" cy="767377"/>
            <wp:effectExtent l="0" t="0" r="825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0" cy="767377"/>
                    </a:xfrm>
                    <a:prstGeom prst="rect">
                      <a:avLst/>
                    </a:prstGeom>
                    <a:noFill/>
                    <a:ln>
                      <a:noFill/>
                    </a:ln>
                  </pic:spPr>
                </pic:pic>
              </a:graphicData>
            </a:graphic>
          </wp:inline>
        </w:drawing>
      </w:r>
    </w:p>
    <w:p w14:paraId="6CEBC611" w14:textId="77777777" w:rsidR="006E1CFB" w:rsidRPr="002B6FC0" w:rsidRDefault="006E1CFB" w:rsidP="00AF43B4">
      <w:pPr>
        <w:rPr>
          <w:rFonts w:ascii="Open Sans" w:hAnsi="Open Sans" w:cs="Open Sans"/>
          <w:color w:val="000000" w:themeColor="text1"/>
          <w:sz w:val="18"/>
          <w:szCs w:val="18"/>
        </w:rPr>
      </w:pPr>
    </w:p>
    <w:p w14:paraId="2C1A5FEE" w14:textId="77777777" w:rsidR="006E1CFB" w:rsidRPr="002B6FC0" w:rsidRDefault="006E1CFB" w:rsidP="00AF43B4">
      <w:pPr>
        <w:rPr>
          <w:rFonts w:ascii="Open Sans" w:hAnsi="Open Sans" w:cs="Open Sans"/>
          <w:color w:val="000000" w:themeColor="text1"/>
          <w:sz w:val="18"/>
          <w:szCs w:val="18"/>
        </w:rPr>
      </w:pPr>
    </w:p>
    <w:p w14:paraId="0ADEFAB7" w14:textId="6D98CBB1" w:rsidR="006E1CFB" w:rsidRPr="002B6FC0" w:rsidRDefault="00BF1716" w:rsidP="00AF43B4">
      <w:pPr>
        <w:rPr>
          <w:rFonts w:ascii="Open Sans" w:hAnsi="Open Sans" w:cs="Open Sans"/>
          <w:color w:val="000000" w:themeColor="text1"/>
          <w:sz w:val="18"/>
          <w:szCs w:val="18"/>
        </w:rPr>
      </w:pPr>
      <w:r w:rsidRPr="002B6FC0">
        <w:rPr>
          <w:rFonts w:ascii="Century Gothic" w:hAnsi="Century Gothic"/>
          <w:noProof/>
          <w:color w:val="000000" w:themeColor="text1"/>
        </w:rPr>
        <mc:AlternateContent>
          <mc:Choice Requires="wps">
            <w:drawing>
              <wp:anchor distT="0" distB="0" distL="114300" distR="114300" simplePos="0" relativeHeight="251659264" behindDoc="0" locked="0" layoutInCell="1" allowOverlap="1" wp14:anchorId="35D3FC55" wp14:editId="30B877D2">
                <wp:simplePos x="0" y="0"/>
                <wp:positionH relativeFrom="column">
                  <wp:posOffset>-76200</wp:posOffset>
                </wp:positionH>
                <wp:positionV relativeFrom="paragraph">
                  <wp:posOffset>41275</wp:posOffset>
                </wp:positionV>
                <wp:extent cx="1825625" cy="1492885"/>
                <wp:effectExtent l="0" t="0" r="3175" b="0"/>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5625" cy="149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5D3FC55" id="_x0000_t202" coordsize="21600,21600" o:spt="202" path="m,l,21600r21600,l21600,xe">
                <v:stroke joinstyle="miter"/>
                <v:path gradientshapeok="t" o:connecttype="rect"/>
              </v:shapetype>
              <v:shape id="Zone de texte 2" o:spid="_x0000_s1026" type="#_x0000_t202" style="position:absolute;left:0;text-align:left;margin-left:-6pt;margin-top:3.25pt;width:143.75pt;height:117.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" stroked="f">
                <v:textbox style="mso-fit-shape-to-text:t">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v:textbox>
              </v:shape>
            </w:pict>
          </mc:Fallback>
        </mc:AlternateContent>
      </w:r>
    </w:p>
    <w:p w14:paraId="2744FC60" w14:textId="3DAE950C" w:rsidR="006E1CFB" w:rsidRPr="002B6FC0" w:rsidRDefault="006E1CFB" w:rsidP="00AF43B4">
      <w:pPr>
        <w:rPr>
          <w:rFonts w:ascii="Open Sans" w:hAnsi="Open Sans" w:cs="Open Sans"/>
          <w:color w:val="000000" w:themeColor="text1"/>
          <w:sz w:val="18"/>
          <w:szCs w:val="18"/>
        </w:rPr>
      </w:pPr>
    </w:p>
    <w:p w14:paraId="1C92A3B4" w14:textId="77777777" w:rsidR="006E1CFB" w:rsidRPr="002B6FC0" w:rsidRDefault="006E1CFB" w:rsidP="00AF43B4">
      <w:pPr>
        <w:rPr>
          <w:rFonts w:ascii="Open Sans" w:hAnsi="Open Sans" w:cs="Open Sans"/>
          <w:color w:val="000000" w:themeColor="text1"/>
          <w:sz w:val="18"/>
          <w:szCs w:val="18"/>
        </w:rPr>
      </w:pPr>
    </w:p>
    <w:p w14:paraId="409EE60A" w14:textId="77777777" w:rsidR="006E1CFB" w:rsidRPr="002B6FC0" w:rsidRDefault="006E1CFB" w:rsidP="00AF43B4">
      <w:pPr>
        <w:rPr>
          <w:rFonts w:ascii="Open Sans" w:hAnsi="Open Sans" w:cs="Open Sans"/>
          <w:color w:val="000000" w:themeColor="text1"/>
          <w:sz w:val="18"/>
          <w:szCs w:val="18"/>
        </w:rPr>
      </w:pPr>
    </w:p>
    <w:p w14:paraId="2AEBE992" w14:textId="26DC19B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40"/>
          <w:szCs w:val="40"/>
        </w:rPr>
      </w:pPr>
      <w:r w:rsidRPr="002B6FC0">
        <w:rPr>
          <w:rFonts w:ascii="Montserrat" w:hAnsi="Montserrat" w:cs="Open Sans"/>
          <w:b/>
          <w:color w:val="000000" w:themeColor="text1"/>
          <w:sz w:val="40"/>
          <w:szCs w:val="40"/>
        </w:rPr>
        <w:t>CAHIER DES CLAUSES PARTICULIERES</w:t>
      </w:r>
    </w:p>
    <w:p w14:paraId="376C5B02" w14:textId="77777777"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18"/>
          <w:szCs w:val="18"/>
        </w:rPr>
      </w:pPr>
    </w:p>
    <w:p w14:paraId="52EC34D1" w14:textId="574218FD"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32"/>
          <w:szCs w:val="32"/>
        </w:rPr>
      </w:pPr>
      <w:r w:rsidRPr="002B6FC0">
        <w:rPr>
          <w:rFonts w:ascii="Montserrat" w:hAnsi="Montserrat" w:cs="Open Sans"/>
          <w:b/>
          <w:color w:val="000000" w:themeColor="text1"/>
          <w:sz w:val="32"/>
          <w:szCs w:val="32"/>
        </w:rPr>
        <w:t>Consultation N°</w:t>
      </w:r>
      <w:r w:rsidR="00C86318">
        <w:rPr>
          <w:rFonts w:ascii="Montserrat" w:hAnsi="Montserrat" w:cs="Open Sans"/>
          <w:b/>
          <w:color w:val="000000" w:themeColor="text1"/>
          <w:sz w:val="32"/>
          <w:szCs w:val="32"/>
        </w:rPr>
        <w:t>27-0</w:t>
      </w:r>
      <w:r w:rsidR="00A37A87">
        <w:rPr>
          <w:rFonts w:ascii="Montserrat" w:hAnsi="Montserrat" w:cs="Open Sans"/>
          <w:b/>
          <w:color w:val="000000" w:themeColor="text1"/>
          <w:sz w:val="32"/>
          <w:szCs w:val="32"/>
        </w:rPr>
        <w:t>22</w:t>
      </w:r>
    </w:p>
    <w:p w14:paraId="502B6D67" w14:textId="77777777" w:rsidR="006E1CFB" w:rsidRPr="002B6FC0" w:rsidRDefault="006E1CFB" w:rsidP="00AF43B4">
      <w:pPr>
        <w:rPr>
          <w:rFonts w:ascii="Open Sans" w:hAnsi="Open Sans" w:cs="Open Sans"/>
          <w:color w:val="000000" w:themeColor="text1"/>
          <w:sz w:val="18"/>
          <w:szCs w:val="18"/>
        </w:rPr>
      </w:pPr>
    </w:p>
    <w:p w14:paraId="2B0A6E81" w14:textId="3683D6F6" w:rsidR="006E1CFB" w:rsidRPr="002B6FC0" w:rsidRDefault="006E1CFB" w:rsidP="00934C76">
      <w:pPr>
        <w:rPr>
          <w:rFonts w:ascii="Open Sans" w:hAnsi="Open Sans" w:cs="Open Sans"/>
          <w:color w:val="000000" w:themeColor="text1"/>
          <w:sz w:val="18"/>
          <w:szCs w:val="18"/>
        </w:rPr>
      </w:pPr>
    </w:p>
    <w:p w14:paraId="4A3E25D3" w14:textId="07A1C190" w:rsidR="006E1CFB" w:rsidRPr="002B6FC0" w:rsidRDefault="001C7D84" w:rsidP="00AF43B4">
      <w:pPr>
        <w:rPr>
          <w:rFonts w:ascii="Open Sans" w:hAnsi="Open Sans" w:cs="Open Sans"/>
          <w:color w:val="000000" w:themeColor="text1"/>
          <w:sz w:val="18"/>
          <w:szCs w:val="18"/>
        </w:rPr>
      </w:pPr>
      <w:bookmarkStart w:id="0" w:name="_Hlk236146574"/>
      <w:r w:rsidRPr="002B6FC0">
        <w:rPr>
          <w:rFonts w:ascii="Open Sans" w:hAnsi="Open Sans" w:cs="Open Sans"/>
          <w:color w:val="000000" w:themeColor="text1"/>
          <w:sz w:val="18"/>
          <w:szCs w:val="18"/>
        </w:rPr>
        <w:t xml:space="preserve">Procédure : </w:t>
      </w:r>
      <w:r w:rsidR="00C86318">
        <w:rPr>
          <w:rFonts w:ascii="Open Sans" w:hAnsi="Open Sans" w:cs="Open Sans"/>
          <w:color w:val="000000" w:themeColor="text1"/>
          <w:sz w:val="18"/>
          <w:szCs w:val="18"/>
        </w:rPr>
        <w:t xml:space="preserve">Procédure avec négociation </w:t>
      </w:r>
    </w:p>
    <w:p w14:paraId="4D3DFD1F" w14:textId="77777777" w:rsidR="006E1CFB" w:rsidRPr="002B6FC0" w:rsidRDefault="006E1CFB" w:rsidP="00AF43B4">
      <w:pPr>
        <w:rPr>
          <w:rFonts w:ascii="Open Sans" w:hAnsi="Open Sans" w:cs="Open Sans"/>
          <w:color w:val="000000" w:themeColor="text1"/>
          <w:sz w:val="18"/>
          <w:szCs w:val="18"/>
        </w:rPr>
      </w:pPr>
    </w:p>
    <w:p w14:paraId="5E24768F" w14:textId="77777777" w:rsidR="006E1CFB" w:rsidRPr="002B6FC0" w:rsidRDefault="006E1CFB" w:rsidP="00AF43B4">
      <w:pPr>
        <w:rPr>
          <w:rFonts w:ascii="Open Sans" w:hAnsi="Open Sans" w:cs="Open Sans"/>
          <w:color w:val="000000" w:themeColor="text1"/>
          <w:sz w:val="18"/>
          <w:szCs w:val="18"/>
        </w:rPr>
      </w:pPr>
    </w:p>
    <w:p w14:paraId="37E54628" w14:textId="4CC39607" w:rsidR="006E1CFB" w:rsidRPr="002B6FC0"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Objet :</w:t>
      </w:r>
      <w:r w:rsidR="00C86318">
        <w:rPr>
          <w:rFonts w:ascii="Open Sans" w:hAnsi="Open Sans" w:cs="Open Sans"/>
          <w:color w:val="000000" w:themeColor="text1"/>
          <w:sz w:val="18"/>
          <w:szCs w:val="18"/>
        </w:rPr>
        <w:t xml:space="preserve"> </w:t>
      </w:r>
      <w:r w:rsidR="00C86318" w:rsidRPr="00C86318">
        <w:rPr>
          <w:rFonts w:ascii="Open Sans" w:hAnsi="Open Sans" w:cs="Open Sans"/>
          <w:iCs/>
          <w:color w:val="000000" w:themeColor="text1"/>
          <w:sz w:val="18"/>
          <w:szCs w:val="18"/>
        </w:rPr>
        <w:t xml:space="preserve">Assurance construction pour l'Hôpital Universitaire </w:t>
      </w:r>
      <w:r w:rsidR="008977D0">
        <w:rPr>
          <w:rFonts w:ascii="Open Sans" w:hAnsi="Open Sans" w:cs="Open Sans"/>
          <w:iCs/>
          <w:color w:val="000000" w:themeColor="text1"/>
          <w:sz w:val="18"/>
          <w:szCs w:val="18"/>
        </w:rPr>
        <w:t xml:space="preserve">Saint-Ouen </w:t>
      </w:r>
      <w:r w:rsidR="00C86318" w:rsidRPr="00C86318">
        <w:rPr>
          <w:rFonts w:ascii="Open Sans" w:hAnsi="Open Sans" w:cs="Open Sans"/>
          <w:iCs/>
          <w:color w:val="000000" w:themeColor="text1"/>
          <w:sz w:val="18"/>
          <w:szCs w:val="18"/>
        </w:rPr>
        <w:t>Grand Paris Nord</w:t>
      </w:r>
    </w:p>
    <w:p w14:paraId="71C1502F" w14:textId="0756B6E8" w:rsidR="006E1CFB" w:rsidRPr="002B6FC0" w:rsidRDefault="00C86318" w:rsidP="00AF43B4">
      <w:pPr>
        <w:rPr>
          <w:rFonts w:ascii="Open Sans" w:hAnsi="Open Sans" w:cs="Open Sans"/>
          <w:color w:val="000000" w:themeColor="text1"/>
          <w:sz w:val="18"/>
          <w:szCs w:val="18"/>
        </w:rPr>
      </w:pPr>
      <w:r>
        <w:rPr>
          <w:rFonts w:ascii="Open Sans" w:hAnsi="Open Sans" w:cs="Open Sans"/>
          <w:color w:val="000000" w:themeColor="text1"/>
          <w:sz w:val="18"/>
          <w:szCs w:val="18"/>
        </w:rPr>
        <w:t xml:space="preserve">Lot n°1 : </w:t>
      </w:r>
      <w:r w:rsidR="00A37A87">
        <w:rPr>
          <w:rFonts w:ascii="Open Sans" w:hAnsi="Open Sans" w:cs="Open Sans"/>
          <w:color w:val="000000" w:themeColor="text1"/>
          <w:sz w:val="18"/>
          <w:szCs w:val="18"/>
        </w:rPr>
        <w:t>Tous Risques Chantier</w:t>
      </w:r>
      <w:r w:rsidR="004D7DDA">
        <w:rPr>
          <w:rFonts w:ascii="Open Sans" w:hAnsi="Open Sans" w:cs="Open Sans"/>
          <w:color w:val="000000" w:themeColor="text1"/>
          <w:sz w:val="18"/>
          <w:szCs w:val="18"/>
        </w:rPr>
        <w:t xml:space="preserve"> (TRC)</w:t>
      </w:r>
    </w:p>
    <w:p w14:paraId="10AB631E" w14:textId="77777777" w:rsidR="00DC3789" w:rsidRPr="002B6FC0" w:rsidRDefault="00DC3789" w:rsidP="00AF43B4">
      <w:pPr>
        <w:rPr>
          <w:rFonts w:ascii="Open Sans" w:hAnsi="Open Sans" w:cs="Open Sans"/>
          <w:color w:val="000000" w:themeColor="text1"/>
          <w:sz w:val="18"/>
          <w:szCs w:val="18"/>
        </w:rPr>
      </w:pPr>
    </w:p>
    <w:p w14:paraId="0508C7A1" w14:textId="77777777" w:rsidR="00142A2F" w:rsidRDefault="00142A2F" w:rsidP="00142A2F">
      <w:pPr>
        <w:rPr>
          <w:rFonts w:ascii="Open Sans" w:hAnsi="Open Sans" w:cs="Open Sans"/>
          <w:color w:val="000000" w:themeColor="text1"/>
          <w:sz w:val="18"/>
          <w:szCs w:val="18"/>
        </w:rPr>
      </w:pPr>
      <w:r w:rsidRPr="00A37A87">
        <w:rPr>
          <w:rFonts w:ascii="Open Sans" w:hAnsi="Open Sans" w:cs="Open Sans"/>
          <w:color w:val="000000" w:themeColor="text1"/>
          <w:sz w:val="18"/>
          <w:szCs w:val="18"/>
        </w:rPr>
        <w:t>Le présent marché d’assurances prendra effet à compter de sa date de notification au titulaire.</w:t>
      </w:r>
    </w:p>
    <w:p w14:paraId="3CDF1C7E" w14:textId="77777777" w:rsidR="00142A2F" w:rsidRPr="00A37A87" w:rsidRDefault="00142A2F" w:rsidP="00142A2F">
      <w:pPr>
        <w:rPr>
          <w:rFonts w:ascii="Open Sans" w:hAnsi="Open Sans" w:cs="Open Sans"/>
          <w:color w:val="000000" w:themeColor="text1"/>
          <w:sz w:val="18"/>
          <w:szCs w:val="18"/>
        </w:rPr>
      </w:pPr>
    </w:p>
    <w:p w14:paraId="5654DFAB" w14:textId="77777777" w:rsidR="00142A2F" w:rsidRDefault="00142A2F" w:rsidP="00142A2F">
      <w:pPr>
        <w:rPr>
          <w:rFonts w:ascii="Open Sans" w:hAnsi="Open Sans" w:cs="Open Sans"/>
          <w:color w:val="000000" w:themeColor="text1"/>
          <w:sz w:val="18"/>
          <w:szCs w:val="18"/>
        </w:rPr>
      </w:pPr>
      <w:r w:rsidRPr="00A37A87">
        <w:rPr>
          <w:rFonts w:ascii="Open Sans" w:hAnsi="Open Sans" w:cs="Open Sans"/>
          <w:color w:val="000000" w:themeColor="text1"/>
          <w:sz w:val="18"/>
          <w:szCs w:val="18"/>
        </w:rPr>
        <w:t xml:space="preserve">La police d’assurance devra être exécutée à compter de la date de signature des parties au marché conformément à l’article L.112-4 du code des assurances. </w:t>
      </w:r>
    </w:p>
    <w:p w14:paraId="1115916B" w14:textId="77777777" w:rsidR="00142A2F" w:rsidRPr="00A37A87" w:rsidRDefault="00142A2F" w:rsidP="00142A2F">
      <w:pPr>
        <w:rPr>
          <w:rFonts w:ascii="Open Sans" w:hAnsi="Open Sans" w:cs="Open Sans"/>
          <w:color w:val="000000" w:themeColor="text1"/>
          <w:sz w:val="18"/>
          <w:szCs w:val="18"/>
        </w:rPr>
      </w:pPr>
    </w:p>
    <w:p w14:paraId="037877BD" w14:textId="77777777" w:rsidR="00142A2F" w:rsidRPr="00A37A87" w:rsidRDefault="00142A2F" w:rsidP="00142A2F">
      <w:pPr>
        <w:rPr>
          <w:rFonts w:ascii="Open Sans" w:hAnsi="Open Sans" w:cs="Open Sans"/>
          <w:color w:val="000000" w:themeColor="text1"/>
          <w:sz w:val="18"/>
          <w:szCs w:val="18"/>
        </w:rPr>
      </w:pPr>
      <w:r>
        <w:rPr>
          <w:rFonts w:ascii="Open Sans" w:hAnsi="Open Sans" w:cs="Open Sans"/>
          <w:color w:val="000000" w:themeColor="text1"/>
          <w:sz w:val="18"/>
          <w:szCs w:val="18"/>
        </w:rPr>
        <w:t>L</w:t>
      </w:r>
      <w:r w:rsidRPr="00A37A87">
        <w:rPr>
          <w:rFonts w:ascii="Open Sans" w:hAnsi="Open Sans" w:cs="Open Sans"/>
          <w:color w:val="000000" w:themeColor="text1"/>
          <w:sz w:val="18"/>
          <w:szCs w:val="18"/>
        </w:rPr>
        <w:t>e marché pourra être prolongé dans les conditions suivantes applicables pour la période de prolongation :</w:t>
      </w:r>
    </w:p>
    <w:p w14:paraId="3F96342C" w14:textId="77777777" w:rsidR="00142A2F" w:rsidRPr="00A37A87" w:rsidRDefault="00142A2F" w:rsidP="00142A2F">
      <w:pPr>
        <w:numPr>
          <w:ilvl w:val="0"/>
          <w:numId w:val="9"/>
        </w:numPr>
        <w:rPr>
          <w:rFonts w:ascii="Open Sans" w:hAnsi="Open Sans" w:cs="Open Sans"/>
          <w:bCs/>
          <w:color w:val="000000" w:themeColor="text1"/>
          <w:sz w:val="18"/>
          <w:szCs w:val="18"/>
        </w:rPr>
      </w:pPr>
      <w:r w:rsidRPr="00A37A87">
        <w:rPr>
          <w:rFonts w:ascii="Open Sans" w:hAnsi="Open Sans" w:cs="Open Sans"/>
          <w:bCs/>
          <w:color w:val="000000" w:themeColor="text1"/>
          <w:sz w:val="18"/>
          <w:szCs w:val="18"/>
        </w:rPr>
        <w:t xml:space="preserve">6 premiers mois, dans les conditions initiales de la police, sans augmentation de cotisation ; </w:t>
      </w:r>
    </w:p>
    <w:p w14:paraId="005C63C4" w14:textId="77777777" w:rsidR="00142A2F" w:rsidRPr="00A37A87" w:rsidRDefault="00142A2F" w:rsidP="00142A2F">
      <w:pPr>
        <w:numPr>
          <w:ilvl w:val="0"/>
          <w:numId w:val="9"/>
        </w:numPr>
        <w:rPr>
          <w:rFonts w:ascii="Open Sans" w:hAnsi="Open Sans" w:cs="Open Sans"/>
          <w:bCs/>
          <w:color w:val="000000" w:themeColor="text1"/>
          <w:sz w:val="18"/>
          <w:szCs w:val="18"/>
        </w:rPr>
      </w:pPr>
      <w:r w:rsidRPr="00A37A87">
        <w:rPr>
          <w:rFonts w:ascii="Open Sans" w:hAnsi="Open Sans" w:cs="Open Sans"/>
          <w:bCs/>
          <w:color w:val="000000" w:themeColor="text1"/>
          <w:sz w:val="18"/>
          <w:szCs w:val="18"/>
        </w:rPr>
        <w:t xml:space="preserve">Pour les 6 mois suivant : le taux de prolongation sera applicable « prorata </w:t>
      </w:r>
      <w:proofErr w:type="spellStart"/>
      <w:r w:rsidRPr="00A37A87">
        <w:rPr>
          <w:rFonts w:ascii="Open Sans" w:hAnsi="Open Sans" w:cs="Open Sans"/>
          <w:bCs/>
          <w:color w:val="000000" w:themeColor="text1"/>
          <w:sz w:val="18"/>
          <w:szCs w:val="18"/>
        </w:rPr>
        <w:t>temporis</w:t>
      </w:r>
      <w:proofErr w:type="spellEnd"/>
      <w:r w:rsidRPr="00A37A87">
        <w:rPr>
          <w:rFonts w:ascii="Open Sans" w:hAnsi="Open Sans" w:cs="Open Sans"/>
          <w:bCs/>
          <w:color w:val="000000" w:themeColor="text1"/>
          <w:sz w:val="18"/>
          <w:szCs w:val="18"/>
        </w:rPr>
        <w:t xml:space="preserve"> » (taux / Nombre de mois prévu initialement) applicable par mois commencé ; </w:t>
      </w:r>
      <w:r w:rsidRPr="00A37A87">
        <w:rPr>
          <w:rFonts w:ascii="Open Sans" w:hAnsi="Open Sans" w:cs="Open Sans"/>
          <w:i/>
          <w:color w:val="000000" w:themeColor="text1"/>
          <w:sz w:val="18"/>
        </w:rPr>
        <w:t>.</w:t>
      </w:r>
    </w:p>
    <w:p w14:paraId="324ABDE4" w14:textId="77777777" w:rsidR="006E1CFB" w:rsidRPr="002B6FC0" w:rsidRDefault="006E1CFB" w:rsidP="00AF43B4">
      <w:pPr>
        <w:rPr>
          <w:rFonts w:ascii="Open Sans" w:hAnsi="Open Sans" w:cs="Open Sans"/>
          <w:color w:val="000000" w:themeColor="text1"/>
          <w:sz w:val="18"/>
          <w:szCs w:val="18"/>
        </w:rPr>
      </w:pPr>
    </w:p>
    <w:p w14:paraId="202A6BE7" w14:textId="5A440343" w:rsidR="006E1CFB" w:rsidRPr="002B6FC0" w:rsidRDefault="00345DD6" w:rsidP="00AF43B4">
      <w:pPr>
        <w:rPr>
          <w:rFonts w:ascii="Open Sans" w:hAnsi="Open Sans" w:cs="Open Sans"/>
          <w:color w:val="000000" w:themeColor="text1"/>
          <w:sz w:val="18"/>
          <w:szCs w:val="18"/>
        </w:rPr>
      </w:pPr>
      <w:r>
        <w:rPr>
          <w:rFonts w:ascii="Open Sans" w:hAnsi="Open Sans" w:cs="Open Sans"/>
          <w:color w:val="000000" w:themeColor="text1"/>
          <w:sz w:val="18"/>
          <w:szCs w:val="18"/>
        </w:rPr>
        <w:t xml:space="preserve">Le présent </w:t>
      </w:r>
      <w:r w:rsidRPr="002B6FC0">
        <w:rPr>
          <w:rFonts w:ascii="Open Sans" w:hAnsi="Open Sans" w:cs="Open Sans"/>
          <w:color w:val="000000" w:themeColor="text1"/>
          <w:sz w:val="18"/>
          <w:szCs w:val="18"/>
        </w:rPr>
        <w:t>cahier des clauses particulières (CCP)</w:t>
      </w:r>
      <w:r w:rsidR="00211162" w:rsidRPr="002B6FC0">
        <w:rPr>
          <w:rFonts w:ascii="Open Sans" w:hAnsi="Open Sans" w:cs="Open Sans"/>
          <w:color w:val="000000" w:themeColor="text1"/>
          <w:sz w:val="18"/>
          <w:szCs w:val="18"/>
        </w:rPr>
        <w:t xml:space="preserve"> comprend </w:t>
      </w:r>
      <w:r w:rsidR="00142A2F">
        <w:rPr>
          <w:rFonts w:ascii="Open Sans" w:hAnsi="Open Sans" w:cs="Open Sans"/>
          <w:color w:val="000000" w:themeColor="text1"/>
          <w:sz w:val="18"/>
          <w:szCs w:val="18"/>
        </w:rPr>
        <w:t>28</w:t>
      </w:r>
      <w:r w:rsidR="00211162" w:rsidRPr="002B6FC0">
        <w:rPr>
          <w:rFonts w:ascii="Open Sans" w:hAnsi="Open Sans" w:cs="Open Sans"/>
          <w:color w:val="000000" w:themeColor="text1"/>
          <w:sz w:val="18"/>
          <w:szCs w:val="18"/>
        </w:rPr>
        <w:t xml:space="preserve"> pages</w:t>
      </w:r>
      <w:r>
        <w:rPr>
          <w:rFonts w:ascii="Open Sans" w:hAnsi="Open Sans" w:cs="Open Sans"/>
          <w:color w:val="000000" w:themeColor="text1"/>
          <w:sz w:val="18"/>
          <w:szCs w:val="18"/>
        </w:rPr>
        <w:t>.</w:t>
      </w:r>
    </w:p>
    <w:p w14:paraId="167A4347" w14:textId="26251255" w:rsidR="008F6C15" w:rsidRPr="002B6FC0" w:rsidRDefault="008F6C15" w:rsidP="00AF43B4">
      <w:pPr>
        <w:pStyle w:val="Style1"/>
        <w:spacing w:line="240" w:lineRule="auto"/>
        <w:rPr>
          <w:color w:val="000000" w:themeColor="text1"/>
        </w:rPr>
      </w:pPr>
    </w:p>
    <w:p w14:paraId="6B73C3C5" w14:textId="373339AF" w:rsidR="008F6C15" w:rsidRPr="002B6FC0" w:rsidRDefault="008F6C15" w:rsidP="00AF43B4">
      <w:pPr>
        <w:rPr>
          <w:rFonts w:ascii="Open Sans" w:hAnsi="Open Sans" w:cs="Open Sans"/>
          <w:color w:val="000000" w:themeColor="text1"/>
        </w:rPr>
      </w:pPr>
    </w:p>
    <w:p w14:paraId="532A599F" w14:textId="3D914EAF" w:rsidR="008F6C15" w:rsidRPr="00A53304" w:rsidRDefault="00A53304" w:rsidP="00AF43B4">
      <w:pPr>
        <w:rPr>
          <w:rFonts w:ascii="Open Sans" w:hAnsi="Open Sans" w:cs="Open Sans"/>
          <w:color w:val="000000" w:themeColor="text1"/>
          <w:sz w:val="18"/>
          <w:szCs w:val="18"/>
        </w:rPr>
      </w:pPr>
      <w:r w:rsidRPr="00A53304">
        <w:rPr>
          <w:rFonts w:ascii="Open Sans" w:hAnsi="Open Sans" w:cs="Open Sans"/>
          <w:color w:val="000000" w:themeColor="text1"/>
          <w:sz w:val="18"/>
          <w:szCs w:val="18"/>
        </w:rPr>
        <w:t>Le présent cahier des clauses particulières a été réalisé avec l’assistant à Maitrise d’Ouvrage (AMO) :</w:t>
      </w:r>
    </w:p>
    <w:p w14:paraId="1991FDA6" w14:textId="3F842798" w:rsidR="00A53304" w:rsidRDefault="00316DF6" w:rsidP="00A53304">
      <w:pPr>
        <w:rPr>
          <w:rFonts w:ascii="Open Sans" w:hAnsi="Open Sans" w:cs="Open Sans"/>
          <w:color w:val="000000" w:themeColor="text1"/>
          <w:sz w:val="18"/>
          <w:szCs w:val="18"/>
        </w:rPr>
      </w:pPr>
      <w:r>
        <w:rPr>
          <w:noProof/>
        </w:rPr>
        <w:drawing>
          <wp:anchor distT="0" distB="0" distL="114300" distR="114300" simplePos="0" relativeHeight="251665408" behindDoc="1" locked="0" layoutInCell="1" allowOverlap="1" wp14:anchorId="1592F98C" wp14:editId="7DEEDD39">
            <wp:simplePos x="0" y="0"/>
            <wp:positionH relativeFrom="column">
              <wp:posOffset>-72390</wp:posOffset>
            </wp:positionH>
            <wp:positionV relativeFrom="margin">
              <wp:posOffset>6741160</wp:posOffset>
            </wp:positionV>
            <wp:extent cx="802005" cy="318770"/>
            <wp:effectExtent l="0" t="0" r="0" b="0"/>
            <wp:wrapTight wrapText="bothSides">
              <wp:wrapPolygon edited="0">
                <wp:start x="513" y="2582"/>
                <wp:lineTo x="513" y="18072"/>
                <wp:lineTo x="20523" y="18072"/>
                <wp:lineTo x="20523" y="2582"/>
                <wp:lineTo x="513" y="2582"/>
              </wp:wrapPolygon>
            </wp:wrapTight>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81061"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02005" cy="318770"/>
                    </a:xfrm>
                    <a:prstGeom prst="rect">
                      <a:avLst/>
                    </a:prstGeom>
                  </pic:spPr>
                </pic:pic>
              </a:graphicData>
            </a:graphic>
            <wp14:sizeRelH relativeFrom="page">
              <wp14:pctWidth>0</wp14:pctWidth>
            </wp14:sizeRelH>
            <wp14:sizeRelV relativeFrom="page">
              <wp14:pctHeight>0</wp14:pctHeight>
            </wp14:sizeRelV>
          </wp:anchor>
        </w:drawing>
      </w:r>
    </w:p>
    <w:p w14:paraId="2F7CB3B1" w14:textId="0EA7340A" w:rsidR="00A53304" w:rsidRDefault="00A53304" w:rsidP="00A53304">
      <w:pPr>
        <w:rPr>
          <w:rFonts w:ascii="Open Sans" w:hAnsi="Open Sans" w:cs="Open Sans"/>
          <w:color w:val="000000" w:themeColor="text1"/>
          <w:sz w:val="18"/>
          <w:szCs w:val="18"/>
        </w:rPr>
      </w:pPr>
    </w:p>
    <w:p w14:paraId="37229C94" w14:textId="77777777" w:rsidR="00A53304" w:rsidRDefault="00A53304" w:rsidP="00A53304">
      <w:pPr>
        <w:rPr>
          <w:rFonts w:ascii="Open Sans" w:hAnsi="Open Sans" w:cs="Open Sans"/>
          <w:color w:val="000000" w:themeColor="text1"/>
          <w:sz w:val="18"/>
          <w:szCs w:val="18"/>
        </w:rPr>
      </w:pPr>
    </w:p>
    <w:p w14:paraId="6551D03B" w14:textId="5E066A23"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HOWDEN FRANCE SAS</w:t>
      </w:r>
    </w:p>
    <w:p w14:paraId="06095153" w14:textId="70436A4C"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Société de courtage et de conseil en assurances</w:t>
      </w:r>
    </w:p>
    <w:p w14:paraId="2731A221" w14:textId="2E81A0D0"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Tour Carpe Diem, 31 Place des Corolles, 92400 Courbevoie</w:t>
      </w:r>
    </w:p>
    <w:p w14:paraId="1ABD08BF" w14:textId="77777777" w:rsidR="008F6C15" w:rsidRPr="002B6FC0" w:rsidRDefault="008F6C15" w:rsidP="00AF43B4">
      <w:pPr>
        <w:rPr>
          <w:rFonts w:ascii="Open Sans" w:hAnsi="Open Sans" w:cs="Open Sans"/>
          <w:color w:val="000000" w:themeColor="text1"/>
        </w:rPr>
      </w:pPr>
    </w:p>
    <w:bookmarkEnd w:id="0"/>
    <w:p w14:paraId="61055503" w14:textId="77777777" w:rsidR="008F6C15" w:rsidRPr="002B6FC0" w:rsidRDefault="008F6C15" w:rsidP="00AF43B4">
      <w:pPr>
        <w:rPr>
          <w:rFonts w:ascii="Open Sans" w:hAnsi="Open Sans" w:cs="Open Sans"/>
          <w:color w:val="000000" w:themeColor="text1"/>
        </w:rPr>
      </w:pPr>
    </w:p>
    <w:p w14:paraId="7146493B" w14:textId="158CAA2E" w:rsidR="008F6C15" w:rsidRPr="002B6FC0" w:rsidRDefault="008F6C15" w:rsidP="00934C76">
      <w:pPr>
        <w:rPr>
          <w:rFonts w:ascii="Open Sans" w:hAnsi="Open Sans" w:cs="Open Sans"/>
          <w:color w:val="000000" w:themeColor="text1"/>
        </w:rPr>
      </w:pPr>
    </w:p>
    <w:p w14:paraId="307460AF" w14:textId="77777777" w:rsidR="008F6C15" w:rsidRPr="002B6FC0" w:rsidRDefault="008F6C15" w:rsidP="00AF43B4">
      <w:pPr>
        <w:rPr>
          <w:rFonts w:ascii="Open Sans" w:hAnsi="Open Sans" w:cs="Open Sans"/>
          <w:color w:val="000000" w:themeColor="text1"/>
        </w:rPr>
      </w:pPr>
    </w:p>
    <w:p w14:paraId="7BADE3FA" w14:textId="77777777" w:rsidR="008F6C15" w:rsidRPr="002B6FC0" w:rsidRDefault="008F6C15" w:rsidP="00AF43B4">
      <w:pPr>
        <w:rPr>
          <w:rFonts w:ascii="Open Sans" w:hAnsi="Open Sans" w:cs="Open Sans"/>
          <w:color w:val="000000" w:themeColor="text1"/>
        </w:rPr>
      </w:pPr>
    </w:p>
    <w:p w14:paraId="590FD5D2" w14:textId="15688741" w:rsidR="008F6C15" w:rsidRPr="002B6FC0" w:rsidRDefault="008F6C15" w:rsidP="00AF43B4">
      <w:pPr>
        <w:rPr>
          <w:rFonts w:ascii="Open Sans" w:hAnsi="Open Sans" w:cs="Open Sans"/>
          <w:color w:val="000000" w:themeColor="text1"/>
        </w:rPr>
      </w:pPr>
    </w:p>
    <w:p w14:paraId="607B7DB9" w14:textId="60DADEC8" w:rsidR="00D84A93" w:rsidRPr="002B6FC0" w:rsidRDefault="008B3666" w:rsidP="00255864">
      <w:pPr>
        <w:jc w:val="center"/>
        <w:rPr>
          <w:color w:val="000000" w:themeColor="text1"/>
        </w:rPr>
      </w:pPr>
      <w:r w:rsidRPr="002B6FC0">
        <w:rPr>
          <w:rFonts w:ascii="Open Sans" w:hAnsi="Open Sans" w:cs="Open Sans"/>
          <w:color w:val="000000" w:themeColor="text1"/>
        </w:rPr>
        <w:br w:type="page"/>
      </w:r>
      <w:r w:rsidR="006E1CFB" w:rsidRPr="002B6FC0">
        <w:rPr>
          <w:color w:val="000000" w:themeColor="text1"/>
        </w:rPr>
        <w:lastRenderedPageBreak/>
        <w:t>SOMMAIRE</w:t>
      </w:r>
    </w:p>
    <w:p w14:paraId="7E7A2647" w14:textId="39EEFE7D" w:rsidR="0053498F" w:rsidRDefault="006E1CFB">
      <w:pPr>
        <w:pStyle w:val="TM2"/>
        <w:tabs>
          <w:tab w:val="right" w:leader="dot" w:pos="9345"/>
        </w:tabs>
        <w:rPr>
          <w:rFonts w:asciiTheme="minorHAnsi" w:eastAsiaTheme="minorEastAsia" w:hAnsiTheme="minorHAnsi" w:cstheme="minorBidi"/>
          <w:noProof/>
          <w:color w:val="auto"/>
          <w:sz w:val="22"/>
          <w:szCs w:val="22"/>
        </w:rPr>
      </w:pPr>
      <w:r w:rsidRPr="002B6FC0">
        <w:rPr>
          <w:rFonts w:ascii="Open Sans" w:hAnsi="Open Sans" w:cs="Open Sans"/>
          <w:color w:val="000000" w:themeColor="text1"/>
          <w:sz w:val="18"/>
          <w:szCs w:val="18"/>
        </w:rPr>
        <w:fldChar w:fldCharType="begin"/>
      </w:r>
      <w:r w:rsidRPr="002B6FC0">
        <w:rPr>
          <w:rFonts w:ascii="Open Sans" w:hAnsi="Open Sans" w:cs="Open Sans"/>
          <w:color w:val="000000" w:themeColor="text1"/>
          <w:sz w:val="18"/>
          <w:szCs w:val="18"/>
        </w:rPr>
        <w:instrText xml:space="preserve"> TOC \o "1-3" </w:instrText>
      </w:r>
      <w:r w:rsidRPr="002B6FC0">
        <w:rPr>
          <w:rFonts w:ascii="Open Sans" w:hAnsi="Open Sans" w:cs="Open Sans"/>
          <w:color w:val="000000" w:themeColor="text1"/>
          <w:sz w:val="18"/>
          <w:szCs w:val="18"/>
        </w:rPr>
        <w:fldChar w:fldCharType="separate"/>
      </w:r>
      <w:r w:rsidR="0053498F">
        <w:rPr>
          <w:noProof/>
        </w:rPr>
        <w:t>ARTICLE 1 : DISPOSITIONS GENERALES</w:t>
      </w:r>
      <w:r w:rsidR="0053498F">
        <w:rPr>
          <w:noProof/>
        </w:rPr>
        <w:tab/>
      </w:r>
      <w:r w:rsidR="0053498F">
        <w:rPr>
          <w:noProof/>
        </w:rPr>
        <w:fldChar w:fldCharType="begin"/>
      </w:r>
      <w:r w:rsidR="0053498F">
        <w:rPr>
          <w:noProof/>
        </w:rPr>
        <w:instrText xml:space="preserve"> PAGEREF _Toc237529610 \h </w:instrText>
      </w:r>
      <w:r w:rsidR="0053498F">
        <w:rPr>
          <w:noProof/>
        </w:rPr>
      </w:r>
      <w:r w:rsidR="0053498F">
        <w:rPr>
          <w:noProof/>
        </w:rPr>
        <w:fldChar w:fldCharType="separate"/>
      </w:r>
      <w:r w:rsidR="0053498F">
        <w:rPr>
          <w:noProof/>
        </w:rPr>
        <w:t>4</w:t>
      </w:r>
      <w:r w:rsidR="0053498F">
        <w:rPr>
          <w:noProof/>
        </w:rPr>
        <w:fldChar w:fldCharType="end"/>
      </w:r>
    </w:p>
    <w:p w14:paraId="2F1B69D4" w14:textId="3B80D2AD"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 :</w:t>
      </w:r>
      <w:r>
        <w:rPr>
          <w:rFonts w:asciiTheme="minorHAnsi" w:eastAsiaTheme="minorEastAsia" w:hAnsiTheme="minorHAnsi" w:cstheme="minorBidi"/>
          <w:sz w:val="22"/>
          <w:szCs w:val="22"/>
        </w:rPr>
        <w:tab/>
      </w:r>
      <w:r w:rsidRPr="008F13B6">
        <w:rPr>
          <w:rFonts w:ascii="Open Sans" w:hAnsi="Open Sans" w:cs="Open Sans"/>
          <w:color w:val="000000" w:themeColor="text1"/>
        </w:rPr>
        <w:t>Objet</w:t>
      </w:r>
      <w:r>
        <w:tab/>
      </w:r>
      <w:r>
        <w:fldChar w:fldCharType="begin"/>
      </w:r>
      <w:r>
        <w:instrText xml:space="preserve"> PAGEREF _Toc237529611 \h </w:instrText>
      </w:r>
      <w:r>
        <w:fldChar w:fldCharType="separate"/>
      </w:r>
      <w:r>
        <w:t>4</w:t>
      </w:r>
      <w:r>
        <w:fldChar w:fldCharType="end"/>
      </w:r>
    </w:p>
    <w:p w14:paraId="49B7C38E" w14:textId="728D14B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 :</w:t>
      </w:r>
      <w:r>
        <w:rPr>
          <w:rFonts w:asciiTheme="minorHAnsi" w:eastAsiaTheme="minorEastAsia" w:hAnsiTheme="minorHAnsi" w:cstheme="minorBidi"/>
          <w:sz w:val="22"/>
          <w:szCs w:val="22"/>
        </w:rPr>
        <w:tab/>
      </w:r>
      <w:r w:rsidRPr="008F13B6">
        <w:rPr>
          <w:rFonts w:ascii="Open Sans" w:hAnsi="Open Sans" w:cs="Open Sans"/>
          <w:color w:val="000000" w:themeColor="text1"/>
        </w:rPr>
        <w:t>Durée</w:t>
      </w:r>
      <w:r>
        <w:tab/>
      </w:r>
      <w:r>
        <w:fldChar w:fldCharType="begin"/>
      </w:r>
      <w:r>
        <w:instrText xml:space="preserve"> PAGEREF _Toc237529612 \h </w:instrText>
      </w:r>
      <w:r>
        <w:fldChar w:fldCharType="separate"/>
      </w:r>
      <w:r>
        <w:t>4</w:t>
      </w:r>
      <w:r>
        <w:fldChar w:fldCharType="end"/>
      </w:r>
    </w:p>
    <w:p w14:paraId="29D5FAC0" w14:textId="153A10CF"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1.3 :</w:t>
      </w:r>
      <w:r>
        <w:rPr>
          <w:rFonts w:asciiTheme="minorHAnsi" w:eastAsiaTheme="minorEastAsia" w:hAnsiTheme="minorHAnsi" w:cstheme="minorBidi"/>
          <w:sz w:val="22"/>
          <w:szCs w:val="22"/>
        </w:rPr>
        <w:tab/>
      </w:r>
      <w:r w:rsidRPr="008F13B6">
        <w:rPr>
          <w:rFonts w:ascii="Open Sans" w:hAnsi="Open Sans" w:cs="Open Sans"/>
          <w:color w:val="000000" w:themeColor="text1"/>
        </w:rPr>
        <w:t>Lieu d’execution des prestations</w:t>
      </w:r>
      <w:r>
        <w:tab/>
      </w:r>
      <w:r>
        <w:fldChar w:fldCharType="begin"/>
      </w:r>
      <w:r>
        <w:instrText xml:space="preserve"> PAGEREF _Toc237529613 \h </w:instrText>
      </w:r>
      <w:r>
        <w:fldChar w:fldCharType="separate"/>
      </w:r>
      <w:r>
        <w:t>4</w:t>
      </w:r>
      <w:r>
        <w:fldChar w:fldCharType="end"/>
      </w:r>
    </w:p>
    <w:p w14:paraId="11015B43" w14:textId="39FA15A0"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1.4 :</w:t>
      </w:r>
      <w:r>
        <w:rPr>
          <w:rFonts w:asciiTheme="minorHAnsi" w:eastAsiaTheme="minorEastAsia" w:hAnsiTheme="minorHAnsi" w:cstheme="minorBidi"/>
          <w:sz w:val="22"/>
          <w:szCs w:val="22"/>
        </w:rPr>
        <w:tab/>
      </w:r>
      <w:r w:rsidRPr="008F13B6">
        <w:rPr>
          <w:rFonts w:ascii="Open Sans" w:hAnsi="Open Sans" w:cs="Open Sans"/>
          <w:color w:val="000000" w:themeColor="text1"/>
        </w:rPr>
        <w:t>Forme du marché</w:t>
      </w:r>
      <w:r>
        <w:tab/>
      </w:r>
      <w:r>
        <w:fldChar w:fldCharType="begin"/>
      </w:r>
      <w:r>
        <w:instrText xml:space="preserve"> PAGEREF _Toc237529614 \h </w:instrText>
      </w:r>
      <w:r>
        <w:fldChar w:fldCharType="separate"/>
      </w:r>
      <w:r>
        <w:t>4</w:t>
      </w:r>
      <w:r>
        <w:fldChar w:fldCharType="end"/>
      </w:r>
    </w:p>
    <w:p w14:paraId="7C16E610" w14:textId="64CF322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1.5 :</w:t>
      </w:r>
      <w:r>
        <w:rPr>
          <w:rFonts w:asciiTheme="minorHAnsi" w:eastAsiaTheme="minorEastAsia" w:hAnsiTheme="minorHAnsi" w:cstheme="minorBidi"/>
          <w:sz w:val="22"/>
          <w:szCs w:val="22"/>
        </w:rPr>
        <w:tab/>
      </w:r>
      <w:r w:rsidRPr="008F13B6">
        <w:rPr>
          <w:rFonts w:ascii="Open Sans" w:hAnsi="Open Sans" w:cs="Open Sans"/>
          <w:color w:val="000000" w:themeColor="text1"/>
        </w:rPr>
        <w:t>Allotissement</w:t>
      </w:r>
      <w:r>
        <w:tab/>
      </w:r>
      <w:r>
        <w:fldChar w:fldCharType="begin"/>
      </w:r>
      <w:r>
        <w:instrText xml:space="preserve"> PAGEREF _Toc237529615 \h </w:instrText>
      </w:r>
      <w:r>
        <w:fldChar w:fldCharType="separate"/>
      </w:r>
      <w:r>
        <w:t>4</w:t>
      </w:r>
      <w:r>
        <w:fldChar w:fldCharType="end"/>
      </w:r>
    </w:p>
    <w:p w14:paraId="1584F405" w14:textId="46812D7D"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1.6 :</w:t>
      </w:r>
      <w:r>
        <w:rPr>
          <w:rFonts w:asciiTheme="minorHAnsi" w:eastAsiaTheme="minorEastAsia" w:hAnsiTheme="minorHAnsi" w:cstheme="minorBidi"/>
          <w:sz w:val="22"/>
          <w:szCs w:val="22"/>
        </w:rPr>
        <w:tab/>
      </w:r>
      <w:r w:rsidRPr="008F13B6">
        <w:rPr>
          <w:rFonts w:ascii="Open Sans" w:hAnsi="Open Sans" w:cs="Open Sans"/>
          <w:color w:val="000000" w:themeColor="text1"/>
        </w:rPr>
        <w:t>Ordre de priorité</w:t>
      </w:r>
      <w:r>
        <w:tab/>
      </w:r>
      <w:r>
        <w:fldChar w:fldCharType="begin"/>
      </w:r>
      <w:r>
        <w:instrText xml:space="preserve"> PAGEREF _Toc237529616 \h </w:instrText>
      </w:r>
      <w:r>
        <w:fldChar w:fldCharType="separate"/>
      </w:r>
      <w:r>
        <w:t>4</w:t>
      </w:r>
      <w:r>
        <w:fldChar w:fldCharType="end"/>
      </w:r>
    </w:p>
    <w:p w14:paraId="28920F34" w14:textId="5448240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1.7 :</w:t>
      </w:r>
      <w:r>
        <w:rPr>
          <w:rFonts w:asciiTheme="minorHAnsi" w:eastAsiaTheme="minorEastAsia" w:hAnsiTheme="minorHAnsi" w:cstheme="minorBidi"/>
          <w:sz w:val="22"/>
          <w:szCs w:val="22"/>
        </w:rPr>
        <w:tab/>
      </w:r>
      <w:r w:rsidRPr="008F13B6">
        <w:rPr>
          <w:rFonts w:ascii="Open Sans" w:hAnsi="Open Sans" w:cs="Open Sans"/>
          <w:color w:val="000000" w:themeColor="text1"/>
        </w:rPr>
        <w:t>Reprise du passé inconnu</w:t>
      </w:r>
      <w:r>
        <w:tab/>
      </w:r>
      <w:r>
        <w:fldChar w:fldCharType="begin"/>
      </w:r>
      <w:r>
        <w:instrText xml:space="preserve"> PAGEREF _Toc237529617 \h </w:instrText>
      </w:r>
      <w:r>
        <w:fldChar w:fldCharType="separate"/>
      </w:r>
      <w:r>
        <w:t>5</w:t>
      </w:r>
      <w:r>
        <w:fldChar w:fldCharType="end"/>
      </w:r>
    </w:p>
    <w:p w14:paraId="065DF7E4" w14:textId="412AABA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1.8 :</w:t>
      </w:r>
      <w:r>
        <w:rPr>
          <w:rFonts w:asciiTheme="minorHAnsi" w:eastAsiaTheme="minorEastAsia" w:hAnsiTheme="minorHAnsi" w:cstheme="minorBidi"/>
          <w:sz w:val="22"/>
          <w:szCs w:val="22"/>
        </w:rPr>
        <w:tab/>
      </w:r>
      <w:r w:rsidRPr="008F13B6">
        <w:rPr>
          <w:rFonts w:ascii="Open Sans" w:hAnsi="Open Sans" w:cs="Open Sans"/>
          <w:color w:val="000000" w:themeColor="text1"/>
        </w:rPr>
        <w:t>Commande</w:t>
      </w:r>
      <w:r>
        <w:tab/>
      </w:r>
      <w:r>
        <w:fldChar w:fldCharType="begin"/>
      </w:r>
      <w:r>
        <w:instrText xml:space="preserve"> PAGEREF _Toc237529618 \h </w:instrText>
      </w:r>
      <w:r>
        <w:fldChar w:fldCharType="separate"/>
      </w:r>
      <w:r>
        <w:t>5</w:t>
      </w:r>
      <w:r>
        <w:fldChar w:fldCharType="end"/>
      </w:r>
    </w:p>
    <w:p w14:paraId="5DFB8991" w14:textId="1E510C51"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1.9 :</w:t>
      </w:r>
      <w:r>
        <w:rPr>
          <w:rFonts w:asciiTheme="minorHAnsi" w:eastAsiaTheme="minorEastAsia" w:hAnsiTheme="minorHAnsi" w:cstheme="minorBidi"/>
          <w:sz w:val="22"/>
          <w:szCs w:val="22"/>
        </w:rPr>
        <w:tab/>
      </w:r>
      <w:r w:rsidRPr="008F13B6">
        <w:rPr>
          <w:rFonts w:ascii="Open Sans" w:hAnsi="Open Sans" w:cs="Open Sans"/>
          <w:color w:val="000000" w:themeColor="text1"/>
          <w:lang w:val="en-GB"/>
        </w:rPr>
        <w:t>Prime prévisionnelle et définitive</w:t>
      </w:r>
      <w:r>
        <w:tab/>
      </w:r>
      <w:r>
        <w:fldChar w:fldCharType="begin"/>
      </w:r>
      <w:r>
        <w:instrText xml:space="preserve"> PAGEREF _Toc237529619 \h </w:instrText>
      </w:r>
      <w:r>
        <w:fldChar w:fldCharType="separate"/>
      </w:r>
      <w:r>
        <w:t>5</w:t>
      </w:r>
      <w:r>
        <w:fldChar w:fldCharType="end"/>
      </w:r>
    </w:p>
    <w:p w14:paraId="15D9722B" w14:textId="30F88BC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1.10 :</w:t>
      </w:r>
      <w:r>
        <w:rPr>
          <w:rFonts w:asciiTheme="minorHAnsi" w:eastAsiaTheme="minorEastAsia" w:hAnsiTheme="minorHAnsi" w:cstheme="minorBidi"/>
          <w:sz w:val="22"/>
          <w:szCs w:val="22"/>
        </w:rPr>
        <w:tab/>
      </w:r>
      <w:r w:rsidRPr="008F13B6">
        <w:rPr>
          <w:rFonts w:ascii="Open Sans" w:hAnsi="Open Sans" w:cs="Open Sans"/>
          <w:color w:val="000000" w:themeColor="text1"/>
        </w:rPr>
        <w:t>Paiement des primes</w:t>
      </w:r>
      <w:r>
        <w:tab/>
      </w:r>
      <w:r>
        <w:fldChar w:fldCharType="begin"/>
      </w:r>
      <w:r>
        <w:instrText xml:space="preserve"> PAGEREF _Toc237529620 \h </w:instrText>
      </w:r>
      <w:r>
        <w:fldChar w:fldCharType="separate"/>
      </w:r>
      <w:r>
        <w:t>5</w:t>
      </w:r>
      <w:r>
        <w:fldChar w:fldCharType="end"/>
      </w:r>
    </w:p>
    <w:p w14:paraId="51FDA413" w14:textId="73A8B602"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1.11 :</w:t>
      </w:r>
      <w:r>
        <w:rPr>
          <w:rFonts w:asciiTheme="minorHAnsi" w:eastAsiaTheme="minorEastAsia" w:hAnsiTheme="minorHAnsi" w:cstheme="minorBidi"/>
          <w:sz w:val="22"/>
          <w:szCs w:val="22"/>
        </w:rPr>
        <w:tab/>
      </w:r>
      <w:r w:rsidRPr="008F13B6">
        <w:rPr>
          <w:rFonts w:ascii="Open Sans" w:hAnsi="Open Sans" w:cs="Open Sans"/>
          <w:color w:val="000000" w:themeColor="text1"/>
        </w:rPr>
        <w:t>Facturation</w:t>
      </w:r>
      <w:r>
        <w:tab/>
      </w:r>
      <w:r>
        <w:fldChar w:fldCharType="begin"/>
      </w:r>
      <w:r>
        <w:instrText xml:space="preserve"> PAGEREF _Toc237529621 \h </w:instrText>
      </w:r>
      <w:r>
        <w:fldChar w:fldCharType="separate"/>
      </w:r>
      <w:r>
        <w:t>6</w:t>
      </w:r>
      <w:r>
        <w:fldChar w:fldCharType="end"/>
      </w:r>
    </w:p>
    <w:p w14:paraId="0A8C5F8C" w14:textId="5DABCA17"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1.12 :</w:t>
      </w:r>
      <w:r>
        <w:rPr>
          <w:rFonts w:asciiTheme="minorHAnsi" w:eastAsiaTheme="minorEastAsia" w:hAnsiTheme="minorHAnsi" w:cstheme="minorBidi"/>
          <w:sz w:val="22"/>
          <w:szCs w:val="22"/>
        </w:rPr>
        <w:tab/>
      </w:r>
      <w:r w:rsidRPr="008F13B6">
        <w:rPr>
          <w:rFonts w:ascii="Open Sans" w:hAnsi="Open Sans" w:cs="Open Sans"/>
          <w:color w:val="000000" w:themeColor="text1"/>
        </w:rPr>
        <w:t>Paiement</w:t>
      </w:r>
      <w:r>
        <w:tab/>
      </w:r>
      <w:r>
        <w:fldChar w:fldCharType="begin"/>
      </w:r>
      <w:r>
        <w:instrText xml:space="preserve"> PAGEREF _Toc237529622 \h </w:instrText>
      </w:r>
      <w:r>
        <w:fldChar w:fldCharType="separate"/>
      </w:r>
      <w:r>
        <w:t>6</w:t>
      </w:r>
      <w:r>
        <w:fldChar w:fldCharType="end"/>
      </w:r>
    </w:p>
    <w:p w14:paraId="463A2DE3" w14:textId="23EC842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1.13 :</w:t>
      </w:r>
      <w:r>
        <w:rPr>
          <w:rFonts w:asciiTheme="minorHAnsi" w:eastAsiaTheme="minorEastAsia" w:hAnsiTheme="minorHAnsi" w:cstheme="minorBidi"/>
          <w:sz w:val="22"/>
          <w:szCs w:val="22"/>
        </w:rPr>
        <w:tab/>
      </w:r>
      <w:r w:rsidRPr="008F13B6">
        <w:rPr>
          <w:rFonts w:ascii="Open Sans" w:hAnsi="Open Sans" w:cs="Open Sans"/>
          <w:color w:val="000000" w:themeColor="text1"/>
        </w:rPr>
        <w:t>Avances</w:t>
      </w:r>
      <w:r>
        <w:tab/>
      </w:r>
      <w:r>
        <w:fldChar w:fldCharType="begin"/>
      </w:r>
      <w:r>
        <w:instrText xml:space="preserve"> PAGEREF _Toc237529623 \h </w:instrText>
      </w:r>
      <w:r>
        <w:fldChar w:fldCharType="separate"/>
      </w:r>
      <w:r>
        <w:t>6</w:t>
      </w:r>
      <w:r>
        <w:fldChar w:fldCharType="end"/>
      </w:r>
    </w:p>
    <w:p w14:paraId="40FF47DD" w14:textId="2A256B9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1.14 :</w:t>
      </w:r>
      <w:r>
        <w:rPr>
          <w:rFonts w:asciiTheme="minorHAnsi" w:eastAsiaTheme="minorEastAsia" w:hAnsiTheme="minorHAnsi" w:cstheme="minorBidi"/>
          <w:sz w:val="22"/>
          <w:szCs w:val="22"/>
        </w:rPr>
        <w:tab/>
      </w:r>
      <w:r w:rsidRPr="008F13B6">
        <w:rPr>
          <w:rFonts w:ascii="Open Sans" w:hAnsi="Open Sans" w:cs="Open Sans"/>
          <w:color w:val="000000" w:themeColor="text1"/>
        </w:rPr>
        <w:t>Clause de réexamen</w:t>
      </w:r>
      <w:r>
        <w:tab/>
      </w:r>
      <w:r>
        <w:fldChar w:fldCharType="begin"/>
      </w:r>
      <w:r>
        <w:instrText xml:space="preserve"> PAGEREF _Toc237529624 \h </w:instrText>
      </w:r>
      <w:r>
        <w:fldChar w:fldCharType="separate"/>
      </w:r>
      <w:r>
        <w:t>7</w:t>
      </w:r>
      <w:r>
        <w:fldChar w:fldCharType="end"/>
      </w:r>
    </w:p>
    <w:p w14:paraId="1C74C06E" w14:textId="340F9F94"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1.15 :</w:t>
      </w:r>
      <w:r>
        <w:rPr>
          <w:rFonts w:asciiTheme="minorHAnsi" w:eastAsiaTheme="minorEastAsia" w:hAnsiTheme="minorHAnsi" w:cstheme="minorBidi"/>
          <w:sz w:val="22"/>
          <w:szCs w:val="22"/>
        </w:rPr>
        <w:tab/>
      </w:r>
      <w:r w:rsidRPr="008F13B6">
        <w:rPr>
          <w:rFonts w:ascii="Open Sans" w:hAnsi="Open Sans" w:cs="Open Sans"/>
          <w:color w:val="000000" w:themeColor="text1"/>
        </w:rPr>
        <w:t>Prestations similaires</w:t>
      </w:r>
      <w:r>
        <w:tab/>
      </w:r>
      <w:r>
        <w:fldChar w:fldCharType="begin"/>
      </w:r>
      <w:r>
        <w:instrText xml:space="preserve"> PAGEREF _Toc237529625 \h </w:instrText>
      </w:r>
      <w:r>
        <w:fldChar w:fldCharType="separate"/>
      </w:r>
      <w:r>
        <w:t>7</w:t>
      </w:r>
      <w:r>
        <w:fldChar w:fldCharType="end"/>
      </w:r>
    </w:p>
    <w:p w14:paraId="4606F8F4" w14:textId="52BDFE1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1.16 :</w:t>
      </w:r>
      <w:r>
        <w:rPr>
          <w:rFonts w:asciiTheme="minorHAnsi" w:eastAsiaTheme="minorEastAsia" w:hAnsiTheme="minorHAnsi" w:cstheme="minorBidi"/>
          <w:sz w:val="22"/>
          <w:szCs w:val="22"/>
        </w:rPr>
        <w:tab/>
      </w:r>
      <w:r w:rsidRPr="008F13B6">
        <w:rPr>
          <w:rFonts w:ascii="Open Sans" w:hAnsi="Open Sans" w:cs="Open Sans"/>
          <w:color w:val="000000" w:themeColor="text1"/>
        </w:rPr>
        <w:t>Changement de dénomination sociale du Titulaire</w:t>
      </w:r>
      <w:r>
        <w:tab/>
      </w:r>
      <w:r>
        <w:fldChar w:fldCharType="begin"/>
      </w:r>
      <w:r>
        <w:instrText xml:space="preserve"> PAGEREF _Toc237529626 \h </w:instrText>
      </w:r>
      <w:r>
        <w:fldChar w:fldCharType="separate"/>
      </w:r>
      <w:r>
        <w:t>7</w:t>
      </w:r>
      <w:r>
        <w:fldChar w:fldCharType="end"/>
      </w:r>
    </w:p>
    <w:p w14:paraId="14897CF0" w14:textId="34710BF8"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1.17 :</w:t>
      </w:r>
      <w:r>
        <w:rPr>
          <w:rFonts w:asciiTheme="minorHAnsi" w:eastAsiaTheme="minorEastAsia" w:hAnsiTheme="minorHAnsi" w:cstheme="minorBidi"/>
          <w:sz w:val="22"/>
          <w:szCs w:val="22"/>
        </w:rPr>
        <w:tab/>
      </w:r>
      <w:r w:rsidRPr="008F13B6">
        <w:rPr>
          <w:rFonts w:ascii="Open Sans" w:hAnsi="Open Sans" w:cs="Open Sans"/>
          <w:color w:val="000000" w:themeColor="text1"/>
        </w:rPr>
        <w:t>Changement de personnalité morale du Titulaire en cours d’execution</w:t>
      </w:r>
      <w:r>
        <w:tab/>
      </w:r>
      <w:r>
        <w:fldChar w:fldCharType="begin"/>
      </w:r>
      <w:r>
        <w:instrText xml:space="preserve"> PAGEREF _Toc237529627 \h </w:instrText>
      </w:r>
      <w:r>
        <w:fldChar w:fldCharType="separate"/>
      </w:r>
      <w:r>
        <w:t>7</w:t>
      </w:r>
      <w:r>
        <w:fldChar w:fldCharType="end"/>
      </w:r>
    </w:p>
    <w:p w14:paraId="798AC3EC" w14:textId="44987AF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1.18 :</w:t>
      </w:r>
      <w:r>
        <w:rPr>
          <w:rFonts w:asciiTheme="minorHAnsi" w:eastAsiaTheme="minorEastAsia" w:hAnsiTheme="minorHAnsi" w:cstheme="minorBidi"/>
          <w:sz w:val="22"/>
          <w:szCs w:val="22"/>
        </w:rPr>
        <w:tab/>
      </w:r>
      <w:r w:rsidRPr="008F13B6">
        <w:rPr>
          <w:rFonts w:ascii="Open Sans" w:hAnsi="Open Sans" w:cs="Open Sans"/>
          <w:color w:val="000000" w:themeColor="text1"/>
        </w:rPr>
        <w:t>Clauses sociales</w:t>
      </w:r>
      <w:r>
        <w:tab/>
      </w:r>
      <w:r>
        <w:fldChar w:fldCharType="begin"/>
      </w:r>
      <w:r>
        <w:instrText xml:space="preserve"> PAGEREF _Toc237529628 \h </w:instrText>
      </w:r>
      <w:r>
        <w:fldChar w:fldCharType="separate"/>
      </w:r>
      <w:r>
        <w:t>7</w:t>
      </w:r>
      <w:r>
        <w:fldChar w:fldCharType="end"/>
      </w:r>
    </w:p>
    <w:p w14:paraId="5B8B328A" w14:textId="0EE3665F"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1.19 :</w:t>
      </w:r>
      <w:r>
        <w:rPr>
          <w:rFonts w:asciiTheme="minorHAnsi" w:eastAsiaTheme="minorEastAsia" w:hAnsiTheme="minorHAnsi" w:cstheme="minorBidi"/>
          <w:sz w:val="22"/>
          <w:szCs w:val="22"/>
        </w:rPr>
        <w:tab/>
      </w:r>
      <w:r w:rsidRPr="008F13B6">
        <w:rPr>
          <w:rFonts w:ascii="Open Sans" w:hAnsi="Open Sans" w:cs="Open Sans"/>
          <w:color w:val="000000" w:themeColor="text1"/>
        </w:rPr>
        <w:t>Vigilances</w:t>
      </w:r>
      <w:r>
        <w:tab/>
      </w:r>
      <w:r>
        <w:fldChar w:fldCharType="begin"/>
      </w:r>
      <w:r>
        <w:instrText xml:space="preserve"> PAGEREF _Toc237529629 \h </w:instrText>
      </w:r>
      <w:r>
        <w:fldChar w:fldCharType="separate"/>
      </w:r>
      <w:r>
        <w:t>8</w:t>
      </w:r>
      <w:r>
        <w:fldChar w:fldCharType="end"/>
      </w:r>
    </w:p>
    <w:p w14:paraId="061EB114" w14:textId="05773129"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1.20 :</w:t>
      </w:r>
      <w:r>
        <w:rPr>
          <w:rFonts w:asciiTheme="minorHAnsi" w:eastAsiaTheme="minorEastAsia" w:hAnsiTheme="minorHAnsi" w:cstheme="minorBidi"/>
          <w:sz w:val="22"/>
          <w:szCs w:val="22"/>
        </w:rPr>
        <w:tab/>
      </w:r>
      <w:r w:rsidRPr="008F13B6">
        <w:rPr>
          <w:rFonts w:ascii="Open Sans" w:hAnsi="Open Sans" w:cs="Open Sans"/>
          <w:color w:val="000000" w:themeColor="text1"/>
        </w:rPr>
        <w:t>Secret professionnel et confidentialité</w:t>
      </w:r>
      <w:r>
        <w:tab/>
      </w:r>
      <w:r>
        <w:fldChar w:fldCharType="begin"/>
      </w:r>
      <w:r>
        <w:instrText xml:space="preserve"> PAGEREF _Toc237529630 \h </w:instrText>
      </w:r>
      <w:r>
        <w:fldChar w:fldCharType="separate"/>
      </w:r>
      <w:r>
        <w:t>8</w:t>
      </w:r>
      <w:r>
        <w:fldChar w:fldCharType="end"/>
      </w:r>
    </w:p>
    <w:p w14:paraId="627BF0AE" w14:textId="03D2408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1.21 :</w:t>
      </w:r>
      <w:r>
        <w:rPr>
          <w:rFonts w:asciiTheme="minorHAnsi" w:eastAsiaTheme="minorEastAsia" w:hAnsiTheme="minorHAnsi" w:cstheme="minorBidi"/>
          <w:sz w:val="22"/>
          <w:szCs w:val="22"/>
        </w:rPr>
        <w:tab/>
      </w:r>
      <w:r w:rsidRPr="008F13B6">
        <w:rPr>
          <w:rFonts w:ascii="Open Sans" w:hAnsi="Open Sans" w:cs="Open Sans"/>
          <w:color w:val="000000" w:themeColor="text1"/>
        </w:rPr>
        <w:t>Accès aux établissements – Identification</w:t>
      </w:r>
      <w:r>
        <w:tab/>
      </w:r>
      <w:r>
        <w:fldChar w:fldCharType="begin"/>
      </w:r>
      <w:r>
        <w:instrText xml:space="preserve"> PAGEREF _Toc237529631 \h </w:instrText>
      </w:r>
      <w:r>
        <w:fldChar w:fldCharType="separate"/>
      </w:r>
      <w:r>
        <w:t>9</w:t>
      </w:r>
      <w:r>
        <w:fldChar w:fldCharType="end"/>
      </w:r>
    </w:p>
    <w:p w14:paraId="47CD27B1" w14:textId="1D70ACB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1.22 :</w:t>
      </w:r>
      <w:r>
        <w:rPr>
          <w:rFonts w:asciiTheme="minorHAnsi" w:eastAsiaTheme="minorEastAsia" w:hAnsiTheme="minorHAnsi" w:cstheme="minorBidi"/>
          <w:sz w:val="22"/>
          <w:szCs w:val="22"/>
        </w:rPr>
        <w:tab/>
      </w:r>
      <w:r w:rsidRPr="008F13B6">
        <w:rPr>
          <w:rFonts w:ascii="Open Sans" w:hAnsi="Open Sans" w:cs="Open Sans"/>
          <w:color w:val="000000" w:themeColor="text1"/>
        </w:rPr>
        <w:t>Nantissement</w:t>
      </w:r>
      <w:r>
        <w:tab/>
      </w:r>
      <w:r>
        <w:fldChar w:fldCharType="begin"/>
      </w:r>
      <w:r>
        <w:instrText xml:space="preserve"> PAGEREF _Toc237529632 \h </w:instrText>
      </w:r>
      <w:r>
        <w:fldChar w:fldCharType="separate"/>
      </w:r>
      <w:r>
        <w:t>9</w:t>
      </w:r>
      <w:r>
        <w:fldChar w:fldCharType="end"/>
      </w:r>
    </w:p>
    <w:p w14:paraId="24787B08" w14:textId="4C3585D4"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1.23 :</w:t>
      </w:r>
      <w:r>
        <w:rPr>
          <w:rFonts w:asciiTheme="minorHAnsi" w:eastAsiaTheme="minorEastAsia" w:hAnsiTheme="minorHAnsi" w:cstheme="minorBidi"/>
          <w:sz w:val="22"/>
          <w:szCs w:val="22"/>
        </w:rPr>
        <w:tab/>
      </w:r>
      <w:r w:rsidRPr="008F13B6">
        <w:rPr>
          <w:rFonts w:ascii="Open Sans" w:hAnsi="Open Sans" w:cs="Open Sans"/>
          <w:color w:val="000000" w:themeColor="text1"/>
        </w:rPr>
        <w:t>Retenue de Garantie</w:t>
      </w:r>
      <w:r>
        <w:tab/>
      </w:r>
      <w:r>
        <w:fldChar w:fldCharType="begin"/>
      </w:r>
      <w:r>
        <w:instrText xml:space="preserve"> PAGEREF _Toc237529633 \h </w:instrText>
      </w:r>
      <w:r>
        <w:fldChar w:fldCharType="separate"/>
      </w:r>
      <w:r>
        <w:t>9</w:t>
      </w:r>
      <w:r>
        <w:fldChar w:fldCharType="end"/>
      </w:r>
    </w:p>
    <w:p w14:paraId="3D14B18E" w14:textId="3BCB112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1.24 :</w:t>
      </w:r>
      <w:r>
        <w:rPr>
          <w:rFonts w:asciiTheme="minorHAnsi" w:eastAsiaTheme="minorEastAsia" w:hAnsiTheme="minorHAnsi" w:cstheme="minorBidi"/>
          <w:sz w:val="22"/>
          <w:szCs w:val="22"/>
        </w:rPr>
        <w:tab/>
      </w:r>
      <w:r w:rsidRPr="008F13B6">
        <w:rPr>
          <w:rFonts w:ascii="Open Sans" w:hAnsi="Open Sans" w:cs="Open Sans"/>
          <w:color w:val="000000" w:themeColor="text1"/>
        </w:rPr>
        <w:t>Pénalités</w:t>
      </w:r>
      <w:r>
        <w:tab/>
      </w:r>
      <w:r>
        <w:fldChar w:fldCharType="begin"/>
      </w:r>
      <w:r>
        <w:instrText xml:space="preserve"> PAGEREF _Toc237529634 \h </w:instrText>
      </w:r>
      <w:r>
        <w:fldChar w:fldCharType="separate"/>
      </w:r>
      <w:r>
        <w:t>10</w:t>
      </w:r>
      <w:r>
        <w:fldChar w:fldCharType="end"/>
      </w:r>
    </w:p>
    <w:p w14:paraId="5DEC71A5" w14:textId="193D6DF7"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1.25 :</w:t>
      </w:r>
      <w:r>
        <w:rPr>
          <w:rFonts w:asciiTheme="minorHAnsi" w:eastAsiaTheme="minorEastAsia" w:hAnsiTheme="minorHAnsi" w:cstheme="minorBidi"/>
          <w:sz w:val="22"/>
          <w:szCs w:val="22"/>
        </w:rPr>
        <w:tab/>
      </w:r>
      <w:r w:rsidRPr="008F13B6">
        <w:rPr>
          <w:rFonts w:ascii="Open Sans" w:hAnsi="Open Sans" w:cs="Open Sans"/>
          <w:color w:val="000000" w:themeColor="text1"/>
        </w:rPr>
        <w:t>Résiliation</w:t>
      </w:r>
      <w:r>
        <w:tab/>
      </w:r>
      <w:r>
        <w:fldChar w:fldCharType="begin"/>
      </w:r>
      <w:r>
        <w:instrText xml:space="preserve"> PAGEREF _Toc237529635 \h </w:instrText>
      </w:r>
      <w:r>
        <w:fldChar w:fldCharType="separate"/>
      </w:r>
      <w:r>
        <w:t>10</w:t>
      </w:r>
      <w:r>
        <w:fldChar w:fldCharType="end"/>
      </w:r>
    </w:p>
    <w:p w14:paraId="52D0B7B5" w14:textId="548B62D8"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1.26 :</w:t>
      </w:r>
      <w:r>
        <w:rPr>
          <w:rFonts w:asciiTheme="minorHAnsi" w:eastAsiaTheme="minorEastAsia" w:hAnsiTheme="minorHAnsi" w:cstheme="minorBidi"/>
          <w:sz w:val="22"/>
          <w:szCs w:val="22"/>
        </w:rPr>
        <w:tab/>
      </w:r>
      <w:r w:rsidRPr="008F13B6">
        <w:rPr>
          <w:rFonts w:ascii="Open Sans" w:hAnsi="Open Sans" w:cs="Open Sans"/>
          <w:color w:val="000000" w:themeColor="text1"/>
        </w:rPr>
        <w:t>Litiges</w:t>
      </w:r>
      <w:r>
        <w:tab/>
      </w:r>
      <w:r>
        <w:fldChar w:fldCharType="begin"/>
      </w:r>
      <w:r>
        <w:instrText xml:space="preserve"> PAGEREF _Toc237529636 \h </w:instrText>
      </w:r>
      <w:r>
        <w:fldChar w:fldCharType="separate"/>
      </w:r>
      <w:r>
        <w:t>10</w:t>
      </w:r>
      <w:r>
        <w:fldChar w:fldCharType="end"/>
      </w:r>
    </w:p>
    <w:p w14:paraId="2C2482C2" w14:textId="2CF053A9"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2 : IDENTIFCATION DE L’OPERATION</w:t>
      </w:r>
      <w:r>
        <w:rPr>
          <w:noProof/>
        </w:rPr>
        <w:tab/>
      </w:r>
      <w:r>
        <w:rPr>
          <w:noProof/>
        </w:rPr>
        <w:fldChar w:fldCharType="begin"/>
      </w:r>
      <w:r>
        <w:rPr>
          <w:noProof/>
        </w:rPr>
        <w:instrText xml:space="preserve"> PAGEREF _Toc237529637 \h </w:instrText>
      </w:r>
      <w:r>
        <w:rPr>
          <w:noProof/>
        </w:rPr>
      </w:r>
      <w:r>
        <w:rPr>
          <w:noProof/>
        </w:rPr>
        <w:fldChar w:fldCharType="separate"/>
      </w:r>
      <w:r>
        <w:rPr>
          <w:noProof/>
        </w:rPr>
        <w:t>11</w:t>
      </w:r>
      <w:r>
        <w:rPr>
          <w:noProof/>
        </w:rPr>
        <w:fldChar w:fldCharType="end"/>
      </w:r>
    </w:p>
    <w:p w14:paraId="0FB90474" w14:textId="66AFEE18"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2.1 :</w:t>
      </w:r>
      <w:r>
        <w:rPr>
          <w:rFonts w:asciiTheme="minorHAnsi" w:eastAsiaTheme="minorEastAsia" w:hAnsiTheme="minorHAnsi" w:cstheme="minorBidi"/>
          <w:sz w:val="22"/>
          <w:szCs w:val="22"/>
        </w:rPr>
        <w:tab/>
      </w:r>
      <w:r w:rsidRPr="008F13B6">
        <w:rPr>
          <w:rFonts w:ascii="Open Sans" w:hAnsi="Open Sans" w:cs="Open Sans"/>
          <w:color w:val="000000" w:themeColor="text1"/>
        </w:rPr>
        <w:t>Presentation du projet (voir annexe dossier technique)</w:t>
      </w:r>
      <w:r>
        <w:tab/>
      </w:r>
      <w:r>
        <w:fldChar w:fldCharType="begin"/>
      </w:r>
      <w:r>
        <w:instrText xml:space="preserve"> PAGEREF _Toc237529638 \h </w:instrText>
      </w:r>
      <w:r>
        <w:fldChar w:fldCharType="separate"/>
      </w:r>
      <w:r>
        <w:t>11</w:t>
      </w:r>
      <w:r>
        <w:fldChar w:fldCharType="end"/>
      </w:r>
    </w:p>
    <w:p w14:paraId="47EC7D8E" w14:textId="0CFA75BF"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2.2 :</w:t>
      </w:r>
      <w:r>
        <w:rPr>
          <w:rFonts w:asciiTheme="minorHAnsi" w:eastAsiaTheme="minorEastAsia" w:hAnsiTheme="minorHAnsi" w:cstheme="minorBidi"/>
          <w:sz w:val="22"/>
          <w:szCs w:val="22"/>
        </w:rPr>
        <w:tab/>
      </w:r>
      <w:r w:rsidRPr="008F13B6">
        <w:rPr>
          <w:rFonts w:ascii="Open Sans" w:hAnsi="Open Sans" w:cs="Open Sans"/>
          <w:color w:val="000000" w:themeColor="text1"/>
        </w:rPr>
        <w:t>Contenu des travaux lot 03 - C</w:t>
      </w:r>
      <w:r>
        <w:tab/>
      </w:r>
      <w:r>
        <w:fldChar w:fldCharType="begin"/>
      </w:r>
      <w:r>
        <w:instrText xml:space="preserve"> PAGEREF _Toc237529639 \h </w:instrText>
      </w:r>
      <w:r>
        <w:fldChar w:fldCharType="separate"/>
      </w:r>
      <w:r>
        <w:t>17</w:t>
      </w:r>
      <w:r>
        <w:fldChar w:fldCharType="end"/>
      </w:r>
    </w:p>
    <w:p w14:paraId="569978E4" w14:textId="5409212B"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2.3 :</w:t>
      </w:r>
      <w:r>
        <w:rPr>
          <w:rFonts w:asciiTheme="minorHAnsi" w:eastAsiaTheme="minorEastAsia" w:hAnsiTheme="minorHAnsi" w:cstheme="minorBidi"/>
          <w:sz w:val="22"/>
          <w:szCs w:val="22"/>
        </w:rPr>
        <w:tab/>
      </w:r>
      <w:r w:rsidRPr="008F13B6">
        <w:rPr>
          <w:rFonts w:ascii="Open Sans" w:hAnsi="Open Sans" w:cs="Open Sans"/>
          <w:color w:val="000000" w:themeColor="text1"/>
        </w:rPr>
        <w:t>Intervenants</w:t>
      </w:r>
      <w:r>
        <w:tab/>
      </w:r>
      <w:r>
        <w:fldChar w:fldCharType="begin"/>
      </w:r>
      <w:r>
        <w:instrText xml:space="preserve"> PAGEREF _Toc237529640 \h </w:instrText>
      </w:r>
      <w:r>
        <w:fldChar w:fldCharType="separate"/>
      </w:r>
      <w:r>
        <w:t>18</w:t>
      </w:r>
      <w:r>
        <w:fldChar w:fldCharType="end"/>
      </w:r>
    </w:p>
    <w:p w14:paraId="58BFA788" w14:textId="027C294C"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2.4 :</w:t>
      </w:r>
      <w:r>
        <w:rPr>
          <w:rFonts w:asciiTheme="minorHAnsi" w:eastAsiaTheme="minorEastAsia" w:hAnsiTheme="minorHAnsi" w:cstheme="minorBidi"/>
          <w:sz w:val="22"/>
          <w:szCs w:val="22"/>
        </w:rPr>
        <w:tab/>
      </w:r>
      <w:r w:rsidRPr="008F13B6">
        <w:rPr>
          <w:rFonts w:ascii="Open Sans" w:hAnsi="Open Sans" w:cs="Open Sans"/>
          <w:color w:val="000000" w:themeColor="text1"/>
        </w:rPr>
        <w:t>Assiette previsionnelle de couverture de l’assurance</w:t>
      </w:r>
      <w:r>
        <w:tab/>
      </w:r>
      <w:r>
        <w:fldChar w:fldCharType="begin"/>
      </w:r>
      <w:r>
        <w:instrText xml:space="preserve"> PAGEREF _Toc237529641 \h </w:instrText>
      </w:r>
      <w:r>
        <w:fldChar w:fldCharType="separate"/>
      </w:r>
      <w:r>
        <w:t>18</w:t>
      </w:r>
      <w:r>
        <w:fldChar w:fldCharType="end"/>
      </w:r>
    </w:p>
    <w:p w14:paraId="4B8AEB0A" w14:textId="41FD69E4"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2.5 :</w:t>
      </w:r>
      <w:r>
        <w:rPr>
          <w:rFonts w:asciiTheme="minorHAnsi" w:eastAsiaTheme="minorEastAsia" w:hAnsiTheme="minorHAnsi" w:cstheme="minorBidi"/>
          <w:sz w:val="22"/>
          <w:szCs w:val="22"/>
        </w:rPr>
        <w:tab/>
      </w:r>
      <w:r w:rsidRPr="008F13B6">
        <w:rPr>
          <w:rFonts w:ascii="Open Sans" w:hAnsi="Open Sans" w:cs="Open Sans"/>
          <w:color w:val="000000" w:themeColor="text1"/>
        </w:rPr>
        <w:t>Planning previsionnel des travaux</w:t>
      </w:r>
      <w:r>
        <w:tab/>
      </w:r>
      <w:r>
        <w:fldChar w:fldCharType="begin"/>
      </w:r>
      <w:r>
        <w:instrText xml:space="preserve"> PAGEREF _Toc237529642 \h </w:instrText>
      </w:r>
      <w:r>
        <w:fldChar w:fldCharType="separate"/>
      </w:r>
      <w:r>
        <w:t>18</w:t>
      </w:r>
      <w:r>
        <w:fldChar w:fldCharType="end"/>
      </w:r>
    </w:p>
    <w:p w14:paraId="2B67C849" w14:textId="6CAA96FB"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3 : ASSURANCES TOUS RISQUES CHANTIER</w:t>
      </w:r>
      <w:r>
        <w:rPr>
          <w:noProof/>
        </w:rPr>
        <w:tab/>
      </w:r>
      <w:r>
        <w:rPr>
          <w:noProof/>
        </w:rPr>
        <w:fldChar w:fldCharType="begin"/>
      </w:r>
      <w:r>
        <w:rPr>
          <w:noProof/>
        </w:rPr>
        <w:instrText xml:space="preserve"> PAGEREF _Toc237529643 \h </w:instrText>
      </w:r>
      <w:r>
        <w:rPr>
          <w:noProof/>
        </w:rPr>
      </w:r>
      <w:r>
        <w:rPr>
          <w:noProof/>
        </w:rPr>
        <w:fldChar w:fldCharType="separate"/>
      </w:r>
      <w:r>
        <w:rPr>
          <w:noProof/>
        </w:rPr>
        <w:t>19</w:t>
      </w:r>
      <w:r>
        <w:rPr>
          <w:noProof/>
        </w:rPr>
        <w:fldChar w:fldCharType="end"/>
      </w:r>
    </w:p>
    <w:p w14:paraId="477B5057" w14:textId="558FA2B9"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3.1 :</w:t>
      </w:r>
      <w:r>
        <w:rPr>
          <w:rFonts w:asciiTheme="minorHAnsi" w:eastAsiaTheme="minorEastAsia" w:hAnsiTheme="minorHAnsi" w:cstheme="minorBidi"/>
          <w:sz w:val="22"/>
          <w:szCs w:val="22"/>
        </w:rPr>
        <w:tab/>
      </w:r>
      <w:r w:rsidRPr="008F13B6">
        <w:rPr>
          <w:rFonts w:ascii="Open Sans" w:hAnsi="Open Sans" w:cs="Open Sans"/>
          <w:color w:val="000000" w:themeColor="text1"/>
        </w:rPr>
        <w:t>Souscripteur</w:t>
      </w:r>
      <w:r>
        <w:tab/>
      </w:r>
      <w:r>
        <w:fldChar w:fldCharType="begin"/>
      </w:r>
      <w:r>
        <w:instrText xml:space="preserve"> PAGEREF _Toc237529644 \h </w:instrText>
      </w:r>
      <w:r>
        <w:fldChar w:fldCharType="separate"/>
      </w:r>
      <w:r>
        <w:t>19</w:t>
      </w:r>
      <w:r>
        <w:fldChar w:fldCharType="end"/>
      </w:r>
    </w:p>
    <w:p w14:paraId="60C5FFCE" w14:textId="04A40989"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3.2 :</w:t>
      </w:r>
      <w:r>
        <w:rPr>
          <w:rFonts w:asciiTheme="minorHAnsi" w:eastAsiaTheme="minorEastAsia" w:hAnsiTheme="minorHAnsi" w:cstheme="minorBidi"/>
          <w:sz w:val="22"/>
          <w:szCs w:val="22"/>
        </w:rPr>
        <w:tab/>
      </w:r>
      <w:r w:rsidRPr="008F13B6">
        <w:rPr>
          <w:rFonts w:ascii="Open Sans" w:hAnsi="Open Sans" w:cs="Open Sans"/>
          <w:color w:val="000000" w:themeColor="text1"/>
        </w:rPr>
        <w:t>Titulaire</w:t>
      </w:r>
      <w:r>
        <w:tab/>
      </w:r>
      <w:r>
        <w:fldChar w:fldCharType="begin"/>
      </w:r>
      <w:r>
        <w:instrText xml:space="preserve"> PAGEREF _Toc237529645 \h </w:instrText>
      </w:r>
      <w:r>
        <w:fldChar w:fldCharType="separate"/>
      </w:r>
      <w:r>
        <w:t>19</w:t>
      </w:r>
      <w:r>
        <w:fldChar w:fldCharType="end"/>
      </w:r>
    </w:p>
    <w:p w14:paraId="26F378C0" w14:textId="4BC08BCF"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Assurés</w:t>
      </w:r>
      <w:r>
        <w:tab/>
      </w:r>
      <w:r>
        <w:fldChar w:fldCharType="begin"/>
      </w:r>
      <w:r>
        <w:instrText xml:space="preserve"> PAGEREF _Toc237529646 \h </w:instrText>
      </w:r>
      <w:r>
        <w:fldChar w:fldCharType="separate"/>
      </w:r>
      <w:r>
        <w:t>19</w:t>
      </w:r>
      <w:r>
        <w:fldChar w:fldCharType="end"/>
      </w:r>
    </w:p>
    <w:p w14:paraId="656C1B57" w14:textId="04609C06"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3.3 :</w:t>
      </w:r>
      <w:r>
        <w:rPr>
          <w:rFonts w:asciiTheme="minorHAnsi" w:eastAsiaTheme="minorEastAsia" w:hAnsiTheme="minorHAnsi" w:cstheme="minorBidi"/>
          <w:sz w:val="22"/>
          <w:szCs w:val="22"/>
        </w:rPr>
        <w:tab/>
      </w:r>
      <w:r w:rsidRPr="008F13B6">
        <w:rPr>
          <w:rFonts w:ascii="Open Sans" w:hAnsi="Open Sans" w:cs="Open Sans"/>
          <w:color w:val="000000" w:themeColor="text1"/>
        </w:rPr>
        <w:t>Renonciation à recours</w:t>
      </w:r>
      <w:r>
        <w:tab/>
      </w:r>
      <w:r>
        <w:fldChar w:fldCharType="begin"/>
      </w:r>
      <w:r>
        <w:instrText xml:space="preserve"> PAGEREF _Toc237529647 \h </w:instrText>
      </w:r>
      <w:r>
        <w:fldChar w:fldCharType="separate"/>
      </w:r>
      <w:r>
        <w:t>19</w:t>
      </w:r>
      <w:r>
        <w:fldChar w:fldCharType="end"/>
      </w:r>
    </w:p>
    <w:p w14:paraId="7F61BE48" w14:textId="635A2537"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3.4 :</w:t>
      </w:r>
      <w:r>
        <w:rPr>
          <w:rFonts w:asciiTheme="minorHAnsi" w:eastAsiaTheme="minorEastAsia" w:hAnsiTheme="minorHAnsi" w:cstheme="minorBidi"/>
          <w:sz w:val="22"/>
          <w:szCs w:val="22"/>
        </w:rPr>
        <w:tab/>
      </w:r>
      <w:r w:rsidRPr="008F13B6">
        <w:rPr>
          <w:rFonts w:ascii="Open Sans" w:hAnsi="Open Sans" w:cs="Open Sans"/>
          <w:color w:val="000000" w:themeColor="text1"/>
        </w:rPr>
        <w:t>Le chantier</w:t>
      </w:r>
      <w:r>
        <w:tab/>
      </w:r>
      <w:r>
        <w:fldChar w:fldCharType="begin"/>
      </w:r>
      <w:r>
        <w:instrText xml:space="preserve"> PAGEREF _Toc237529648 \h </w:instrText>
      </w:r>
      <w:r>
        <w:fldChar w:fldCharType="separate"/>
      </w:r>
      <w:r>
        <w:t>19</w:t>
      </w:r>
      <w:r>
        <w:fldChar w:fldCharType="end"/>
      </w:r>
    </w:p>
    <w:p w14:paraId="63CDBCA7" w14:textId="3B000BE6"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3.5 :</w:t>
      </w:r>
      <w:r>
        <w:rPr>
          <w:rFonts w:asciiTheme="minorHAnsi" w:eastAsiaTheme="minorEastAsia" w:hAnsiTheme="minorHAnsi" w:cstheme="minorBidi"/>
          <w:sz w:val="22"/>
          <w:szCs w:val="22"/>
        </w:rPr>
        <w:tab/>
      </w:r>
      <w:r w:rsidRPr="008F13B6">
        <w:rPr>
          <w:rFonts w:ascii="Open Sans" w:hAnsi="Open Sans" w:cs="Open Sans"/>
          <w:color w:val="000000" w:themeColor="text1"/>
        </w:rPr>
        <w:t>Bien assurés</w:t>
      </w:r>
      <w:r>
        <w:tab/>
      </w:r>
      <w:r>
        <w:fldChar w:fldCharType="begin"/>
      </w:r>
      <w:r>
        <w:instrText xml:space="preserve"> PAGEREF _Toc237529649 \h </w:instrText>
      </w:r>
      <w:r>
        <w:fldChar w:fldCharType="separate"/>
      </w:r>
      <w:r>
        <w:t>20</w:t>
      </w:r>
      <w:r>
        <w:fldChar w:fldCharType="end"/>
      </w:r>
    </w:p>
    <w:p w14:paraId="66CB2D1B" w14:textId="69C548D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3.6 :</w:t>
      </w:r>
      <w:r>
        <w:rPr>
          <w:rFonts w:asciiTheme="minorHAnsi" w:eastAsiaTheme="minorEastAsia" w:hAnsiTheme="minorHAnsi" w:cstheme="minorBidi"/>
          <w:sz w:val="22"/>
          <w:szCs w:val="22"/>
        </w:rPr>
        <w:tab/>
      </w:r>
      <w:r w:rsidRPr="008F13B6">
        <w:rPr>
          <w:rFonts w:ascii="Open Sans" w:hAnsi="Open Sans" w:cs="Open Sans"/>
          <w:color w:val="000000" w:themeColor="text1"/>
        </w:rPr>
        <w:t>Période d’assurance</w:t>
      </w:r>
      <w:r>
        <w:tab/>
      </w:r>
      <w:r>
        <w:fldChar w:fldCharType="begin"/>
      </w:r>
      <w:r>
        <w:instrText xml:space="preserve"> PAGEREF _Toc237529650 \h </w:instrText>
      </w:r>
      <w:r>
        <w:fldChar w:fldCharType="separate"/>
      </w:r>
      <w:r>
        <w:t>20</w:t>
      </w:r>
      <w:r>
        <w:fldChar w:fldCharType="end"/>
      </w:r>
    </w:p>
    <w:p w14:paraId="1B8E47DE" w14:textId="7691430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3.7 :</w:t>
      </w:r>
      <w:r>
        <w:rPr>
          <w:rFonts w:asciiTheme="minorHAnsi" w:eastAsiaTheme="minorEastAsia" w:hAnsiTheme="minorHAnsi" w:cstheme="minorBidi"/>
          <w:sz w:val="22"/>
          <w:szCs w:val="22"/>
        </w:rPr>
        <w:tab/>
      </w:r>
      <w:r w:rsidRPr="008F13B6">
        <w:rPr>
          <w:rFonts w:ascii="Open Sans" w:hAnsi="Open Sans" w:cs="Open Sans"/>
          <w:color w:val="000000" w:themeColor="text1"/>
        </w:rPr>
        <w:t>Sinistre</w:t>
      </w:r>
      <w:r>
        <w:tab/>
      </w:r>
      <w:r>
        <w:fldChar w:fldCharType="begin"/>
      </w:r>
      <w:r>
        <w:instrText xml:space="preserve"> PAGEREF _Toc237529651 \h </w:instrText>
      </w:r>
      <w:r>
        <w:fldChar w:fldCharType="separate"/>
      </w:r>
      <w:r>
        <w:t>20</w:t>
      </w:r>
      <w:r>
        <w:fldChar w:fldCharType="end"/>
      </w:r>
    </w:p>
    <w:p w14:paraId="3C67C812" w14:textId="5FC095F7"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4 :</w:t>
      </w:r>
      <w:r w:rsidRPr="008F13B6">
        <w:rPr>
          <w:noProof/>
        </w:rPr>
        <w:t xml:space="preserve"> MONTANT DES GARANTIES ET FRANCHISES</w:t>
      </w:r>
      <w:r>
        <w:rPr>
          <w:noProof/>
        </w:rPr>
        <w:tab/>
      </w:r>
      <w:r>
        <w:rPr>
          <w:noProof/>
        </w:rPr>
        <w:fldChar w:fldCharType="begin"/>
      </w:r>
      <w:r>
        <w:rPr>
          <w:noProof/>
        </w:rPr>
        <w:instrText xml:space="preserve"> PAGEREF _Toc237529652 \h </w:instrText>
      </w:r>
      <w:r>
        <w:rPr>
          <w:noProof/>
        </w:rPr>
      </w:r>
      <w:r>
        <w:rPr>
          <w:noProof/>
        </w:rPr>
        <w:fldChar w:fldCharType="separate"/>
      </w:r>
      <w:r>
        <w:rPr>
          <w:noProof/>
        </w:rPr>
        <w:t>20</w:t>
      </w:r>
      <w:r>
        <w:rPr>
          <w:noProof/>
        </w:rPr>
        <w:fldChar w:fldCharType="end"/>
      </w:r>
    </w:p>
    <w:p w14:paraId="74732BC2" w14:textId="5812900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4.1 :</w:t>
      </w:r>
      <w:r>
        <w:rPr>
          <w:rFonts w:asciiTheme="minorHAnsi" w:eastAsiaTheme="minorEastAsia" w:hAnsiTheme="minorHAnsi" w:cstheme="minorBidi"/>
          <w:sz w:val="22"/>
          <w:szCs w:val="22"/>
        </w:rPr>
        <w:tab/>
      </w:r>
      <w:r w:rsidRPr="008F13B6">
        <w:rPr>
          <w:rFonts w:ascii="Open Sans" w:hAnsi="Open Sans" w:cs="Open Sans"/>
          <w:color w:val="000000" w:themeColor="text1"/>
        </w:rPr>
        <w:t>Montant des garanties</w:t>
      </w:r>
      <w:r>
        <w:tab/>
      </w:r>
      <w:r>
        <w:fldChar w:fldCharType="begin"/>
      </w:r>
      <w:r>
        <w:instrText xml:space="preserve"> PAGEREF _Toc237529653 \h </w:instrText>
      </w:r>
      <w:r>
        <w:fldChar w:fldCharType="separate"/>
      </w:r>
      <w:r>
        <w:t>20</w:t>
      </w:r>
      <w:r>
        <w:fldChar w:fldCharType="end"/>
      </w:r>
    </w:p>
    <w:p w14:paraId="0162ADC9" w14:textId="1B7F5842"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4.2 :</w:t>
      </w:r>
      <w:r>
        <w:rPr>
          <w:rFonts w:asciiTheme="minorHAnsi" w:eastAsiaTheme="minorEastAsia" w:hAnsiTheme="minorHAnsi" w:cstheme="minorBidi"/>
          <w:sz w:val="22"/>
          <w:szCs w:val="22"/>
        </w:rPr>
        <w:tab/>
      </w:r>
      <w:r w:rsidRPr="008F13B6">
        <w:rPr>
          <w:rFonts w:ascii="Open Sans" w:hAnsi="Open Sans" w:cs="Open Sans"/>
          <w:color w:val="000000" w:themeColor="text1"/>
        </w:rPr>
        <w:t>Franchises par sinistres</w:t>
      </w:r>
      <w:r>
        <w:tab/>
      </w:r>
      <w:r>
        <w:fldChar w:fldCharType="begin"/>
      </w:r>
      <w:r>
        <w:instrText xml:space="preserve"> PAGEREF _Toc237529654 \h </w:instrText>
      </w:r>
      <w:r>
        <w:fldChar w:fldCharType="separate"/>
      </w:r>
      <w:r>
        <w:t>21</w:t>
      </w:r>
      <w:r>
        <w:fldChar w:fldCharType="end"/>
      </w:r>
    </w:p>
    <w:p w14:paraId="41B1B8AF" w14:textId="5E8EB5DD"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5 :</w:t>
      </w:r>
      <w:r w:rsidRPr="008F13B6">
        <w:rPr>
          <w:noProof/>
        </w:rPr>
        <w:t xml:space="preserve"> GARANTIES</w:t>
      </w:r>
      <w:r>
        <w:rPr>
          <w:noProof/>
        </w:rPr>
        <w:tab/>
      </w:r>
      <w:r>
        <w:rPr>
          <w:noProof/>
        </w:rPr>
        <w:fldChar w:fldCharType="begin"/>
      </w:r>
      <w:r>
        <w:rPr>
          <w:noProof/>
        </w:rPr>
        <w:instrText xml:space="preserve"> PAGEREF _Toc237529655 \h </w:instrText>
      </w:r>
      <w:r>
        <w:rPr>
          <w:noProof/>
        </w:rPr>
      </w:r>
      <w:r>
        <w:rPr>
          <w:noProof/>
        </w:rPr>
        <w:fldChar w:fldCharType="separate"/>
      </w:r>
      <w:r>
        <w:rPr>
          <w:noProof/>
        </w:rPr>
        <w:t>22</w:t>
      </w:r>
      <w:r>
        <w:rPr>
          <w:noProof/>
        </w:rPr>
        <w:fldChar w:fldCharType="end"/>
      </w:r>
    </w:p>
    <w:p w14:paraId="5A06E20C" w14:textId="696BBFE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5.1 :</w:t>
      </w:r>
      <w:r>
        <w:rPr>
          <w:rFonts w:asciiTheme="minorHAnsi" w:eastAsiaTheme="minorEastAsia" w:hAnsiTheme="minorHAnsi" w:cstheme="minorBidi"/>
          <w:sz w:val="22"/>
          <w:szCs w:val="22"/>
        </w:rPr>
        <w:tab/>
      </w:r>
      <w:r w:rsidRPr="008F13B6">
        <w:rPr>
          <w:rFonts w:ascii="Open Sans" w:hAnsi="Open Sans" w:cs="Open Sans"/>
          <w:color w:val="000000" w:themeColor="text1"/>
        </w:rPr>
        <w:t>Pendant la période de travaux/montage/essais</w:t>
      </w:r>
      <w:r>
        <w:tab/>
      </w:r>
      <w:r>
        <w:fldChar w:fldCharType="begin"/>
      </w:r>
      <w:r>
        <w:instrText xml:space="preserve"> PAGEREF _Toc237529656 \h </w:instrText>
      </w:r>
      <w:r>
        <w:fldChar w:fldCharType="separate"/>
      </w:r>
      <w:r>
        <w:t>22</w:t>
      </w:r>
      <w:r>
        <w:fldChar w:fldCharType="end"/>
      </w:r>
    </w:p>
    <w:p w14:paraId="551ACECF" w14:textId="264C70E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5.2 :</w:t>
      </w:r>
      <w:r>
        <w:rPr>
          <w:rFonts w:asciiTheme="minorHAnsi" w:eastAsiaTheme="minorEastAsia" w:hAnsiTheme="minorHAnsi" w:cstheme="minorBidi"/>
          <w:sz w:val="22"/>
          <w:szCs w:val="22"/>
        </w:rPr>
        <w:tab/>
      </w:r>
      <w:r w:rsidRPr="008F13B6">
        <w:rPr>
          <w:rFonts w:ascii="Open Sans" w:hAnsi="Open Sans" w:cs="Open Sans"/>
          <w:color w:val="000000" w:themeColor="text1"/>
        </w:rPr>
        <w:t>Pendant la période de maintenance</w:t>
      </w:r>
      <w:r>
        <w:tab/>
      </w:r>
      <w:r>
        <w:fldChar w:fldCharType="begin"/>
      </w:r>
      <w:r>
        <w:instrText xml:space="preserve"> PAGEREF _Toc237529657 \h </w:instrText>
      </w:r>
      <w:r>
        <w:fldChar w:fldCharType="separate"/>
      </w:r>
      <w:r>
        <w:t>22</w:t>
      </w:r>
      <w:r>
        <w:fldChar w:fldCharType="end"/>
      </w:r>
    </w:p>
    <w:p w14:paraId="007CBCFC" w14:textId="23997F04"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5.3 :</w:t>
      </w:r>
      <w:r>
        <w:rPr>
          <w:rFonts w:asciiTheme="minorHAnsi" w:eastAsiaTheme="minorEastAsia" w:hAnsiTheme="minorHAnsi" w:cstheme="minorBidi"/>
          <w:sz w:val="22"/>
          <w:szCs w:val="22"/>
        </w:rPr>
        <w:tab/>
      </w:r>
      <w:r w:rsidRPr="008F13B6">
        <w:rPr>
          <w:rFonts w:ascii="Open Sans" w:hAnsi="Open Sans" w:cs="Open Sans"/>
          <w:color w:val="000000" w:themeColor="text1"/>
        </w:rPr>
        <w:t>Garanties annexes</w:t>
      </w:r>
      <w:r>
        <w:tab/>
      </w:r>
      <w:r>
        <w:fldChar w:fldCharType="begin"/>
      </w:r>
      <w:r>
        <w:instrText xml:space="preserve"> PAGEREF _Toc237529658 \h </w:instrText>
      </w:r>
      <w:r>
        <w:fldChar w:fldCharType="separate"/>
      </w:r>
      <w:r>
        <w:t>22</w:t>
      </w:r>
      <w:r>
        <w:fldChar w:fldCharType="end"/>
      </w:r>
    </w:p>
    <w:p w14:paraId="4C6AC498" w14:textId="4C376387"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5.4 :</w:t>
      </w:r>
      <w:r>
        <w:rPr>
          <w:rFonts w:asciiTheme="minorHAnsi" w:eastAsiaTheme="minorEastAsia" w:hAnsiTheme="minorHAnsi" w:cstheme="minorBidi"/>
          <w:sz w:val="22"/>
          <w:szCs w:val="22"/>
        </w:rPr>
        <w:tab/>
      </w:r>
      <w:r w:rsidRPr="008F13B6">
        <w:rPr>
          <w:rFonts w:ascii="Open Sans" w:hAnsi="Open Sans" w:cs="Open Sans"/>
          <w:color w:val="000000" w:themeColor="text1"/>
        </w:rPr>
        <w:t>Catastrophes naturelles</w:t>
      </w:r>
      <w:r>
        <w:tab/>
      </w:r>
      <w:r>
        <w:fldChar w:fldCharType="begin"/>
      </w:r>
      <w:r>
        <w:instrText xml:space="preserve"> PAGEREF _Toc237529659 \h </w:instrText>
      </w:r>
      <w:r>
        <w:fldChar w:fldCharType="separate"/>
      </w:r>
      <w:r>
        <w:t>23</w:t>
      </w:r>
      <w:r>
        <w:fldChar w:fldCharType="end"/>
      </w:r>
    </w:p>
    <w:p w14:paraId="3704EC23" w14:textId="5CE17A14"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6 :</w:t>
      </w:r>
      <w:r w:rsidRPr="008F13B6">
        <w:rPr>
          <w:noProof/>
        </w:rPr>
        <w:t xml:space="preserve"> EXCLUSIONS</w:t>
      </w:r>
      <w:r>
        <w:rPr>
          <w:noProof/>
        </w:rPr>
        <w:tab/>
      </w:r>
      <w:r>
        <w:rPr>
          <w:noProof/>
        </w:rPr>
        <w:fldChar w:fldCharType="begin"/>
      </w:r>
      <w:r>
        <w:rPr>
          <w:noProof/>
        </w:rPr>
        <w:instrText xml:space="preserve"> PAGEREF _Toc237529660 \h </w:instrText>
      </w:r>
      <w:r>
        <w:rPr>
          <w:noProof/>
        </w:rPr>
      </w:r>
      <w:r>
        <w:rPr>
          <w:noProof/>
        </w:rPr>
        <w:fldChar w:fldCharType="separate"/>
      </w:r>
      <w:r>
        <w:rPr>
          <w:noProof/>
        </w:rPr>
        <w:t>23</w:t>
      </w:r>
      <w:r>
        <w:rPr>
          <w:noProof/>
        </w:rPr>
        <w:fldChar w:fldCharType="end"/>
      </w:r>
    </w:p>
    <w:p w14:paraId="52E3D5C0" w14:textId="227CCAAF"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6.1 :</w:t>
      </w:r>
      <w:r>
        <w:rPr>
          <w:rFonts w:asciiTheme="minorHAnsi" w:eastAsiaTheme="minorEastAsia" w:hAnsiTheme="minorHAnsi" w:cstheme="minorBidi"/>
          <w:sz w:val="22"/>
          <w:szCs w:val="22"/>
        </w:rPr>
        <w:tab/>
      </w:r>
      <w:r w:rsidRPr="008F13B6">
        <w:rPr>
          <w:rFonts w:ascii="Open Sans" w:hAnsi="Open Sans" w:cs="Open Sans"/>
          <w:color w:val="000000" w:themeColor="text1"/>
        </w:rPr>
        <w:t>Exclusions communes a l'ensemble des garanties</w:t>
      </w:r>
      <w:r>
        <w:tab/>
      </w:r>
      <w:r>
        <w:fldChar w:fldCharType="begin"/>
      </w:r>
      <w:r>
        <w:instrText xml:space="preserve"> PAGEREF _Toc237529661 \h </w:instrText>
      </w:r>
      <w:r>
        <w:fldChar w:fldCharType="separate"/>
      </w:r>
      <w:r>
        <w:t>23</w:t>
      </w:r>
      <w:r>
        <w:fldChar w:fldCharType="end"/>
      </w:r>
    </w:p>
    <w:p w14:paraId="098C1B31" w14:textId="59941301"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lastRenderedPageBreak/>
        <w:t>6.2 :</w:t>
      </w:r>
      <w:r>
        <w:rPr>
          <w:rFonts w:asciiTheme="minorHAnsi" w:eastAsiaTheme="minorEastAsia" w:hAnsiTheme="minorHAnsi" w:cstheme="minorBidi"/>
          <w:sz w:val="22"/>
          <w:szCs w:val="22"/>
        </w:rPr>
        <w:tab/>
      </w:r>
      <w:r w:rsidRPr="008F13B6">
        <w:rPr>
          <w:rFonts w:ascii="Open Sans" w:hAnsi="Open Sans" w:cs="Open Sans"/>
          <w:color w:val="000000" w:themeColor="text1"/>
        </w:rPr>
        <w:t>Exclusions de la garantie de maintenance</w:t>
      </w:r>
      <w:r>
        <w:tab/>
      </w:r>
      <w:r>
        <w:fldChar w:fldCharType="begin"/>
      </w:r>
      <w:r>
        <w:instrText xml:space="preserve"> PAGEREF _Toc237529662 \h </w:instrText>
      </w:r>
      <w:r>
        <w:fldChar w:fldCharType="separate"/>
      </w:r>
      <w:r>
        <w:t>25</w:t>
      </w:r>
      <w:r>
        <w:fldChar w:fldCharType="end"/>
      </w:r>
    </w:p>
    <w:p w14:paraId="5EFBE49D" w14:textId="1637A744"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7 :</w:t>
      </w:r>
      <w:r w:rsidRPr="008F13B6">
        <w:rPr>
          <w:noProof/>
        </w:rPr>
        <w:t xml:space="preserve"> CONVENTIONS</w:t>
      </w:r>
      <w:r>
        <w:rPr>
          <w:noProof/>
        </w:rPr>
        <w:tab/>
      </w:r>
      <w:r>
        <w:rPr>
          <w:noProof/>
        </w:rPr>
        <w:fldChar w:fldCharType="begin"/>
      </w:r>
      <w:r>
        <w:rPr>
          <w:noProof/>
        </w:rPr>
        <w:instrText xml:space="preserve"> PAGEREF _Toc237529663 \h </w:instrText>
      </w:r>
      <w:r>
        <w:rPr>
          <w:noProof/>
        </w:rPr>
      </w:r>
      <w:r>
        <w:rPr>
          <w:noProof/>
        </w:rPr>
        <w:fldChar w:fldCharType="separate"/>
      </w:r>
      <w:r>
        <w:rPr>
          <w:noProof/>
        </w:rPr>
        <w:t>25</w:t>
      </w:r>
      <w:r>
        <w:rPr>
          <w:noProof/>
        </w:rPr>
        <w:fldChar w:fldCharType="end"/>
      </w:r>
    </w:p>
    <w:p w14:paraId="007E559F" w14:textId="41D181D5"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7.1 :</w:t>
      </w:r>
      <w:r>
        <w:rPr>
          <w:rFonts w:asciiTheme="minorHAnsi" w:eastAsiaTheme="minorEastAsia" w:hAnsiTheme="minorHAnsi" w:cstheme="minorBidi"/>
          <w:sz w:val="22"/>
          <w:szCs w:val="22"/>
        </w:rPr>
        <w:tab/>
      </w:r>
      <w:r w:rsidRPr="008F13B6">
        <w:rPr>
          <w:rFonts w:ascii="Open Sans" w:hAnsi="Open Sans" w:cs="Open Sans"/>
          <w:color w:val="000000" w:themeColor="text1"/>
        </w:rPr>
        <w:t>Arrêt de chantier</w:t>
      </w:r>
      <w:r>
        <w:tab/>
      </w:r>
      <w:r>
        <w:fldChar w:fldCharType="begin"/>
      </w:r>
      <w:r>
        <w:instrText xml:space="preserve"> PAGEREF _Toc237529664 \h </w:instrText>
      </w:r>
      <w:r>
        <w:fldChar w:fldCharType="separate"/>
      </w:r>
      <w:r>
        <w:t>25</w:t>
      </w:r>
      <w:r>
        <w:fldChar w:fldCharType="end"/>
      </w:r>
    </w:p>
    <w:p w14:paraId="09A76E89" w14:textId="3CD9EA5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7.2 :</w:t>
      </w:r>
      <w:r>
        <w:rPr>
          <w:rFonts w:asciiTheme="minorHAnsi" w:eastAsiaTheme="minorEastAsia" w:hAnsiTheme="minorHAnsi" w:cstheme="minorBidi"/>
          <w:sz w:val="22"/>
          <w:szCs w:val="22"/>
        </w:rPr>
        <w:tab/>
      </w:r>
      <w:r w:rsidRPr="008F13B6">
        <w:rPr>
          <w:rFonts w:ascii="Open Sans" w:hAnsi="Open Sans" w:cs="Open Sans"/>
          <w:color w:val="000000" w:themeColor="text1"/>
        </w:rPr>
        <w:t>Abrogation de la règle proportionnelle</w:t>
      </w:r>
      <w:r>
        <w:tab/>
      </w:r>
      <w:r>
        <w:fldChar w:fldCharType="begin"/>
      </w:r>
      <w:r>
        <w:instrText xml:space="preserve"> PAGEREF _Toc237529665 \h </w:instrText>
      </w:r>
      <w:r>
        <w:fldChar w:fldCharType="separate"/>
      </w:r>
      <w:r>
        <w:t>25</w:t>
      </w:r>
      <w:r>
        <w:fldChar w:fldCharType="end"/>
      </w:r>
    </w:p>
    <w:p w14:paraId="774832F7" w14:textId="2F73CDE4"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7.3 :</w:t>
      </w:r>
      <w:r>
        <w:rPr>
          <w:rFonts w:asciiTheme="minorHAnsi" w:eastAsiaTheme="minorEastAsia" w:hAnsiTheme="minorHAnsi" w:cstheme="minorBidi"/>
          <w:sz w:val="22"/>
          <w:szCs w:val="22"/>
        </w:rPr>
        <w:tab/>
      </w:r>
      <w:r w:rsidRPr="008F13B6">
        <w:rPr>
          <w:rFonts w:ascii="Open Sans" w:hAnsi="Open Sans" w:cs="Open Sans"/>
          <w:color w:val="000000" w:themeColor="text1"/>
        </w:rPr>
        <w:t>Reconstitution de garantie</w:t>
      </w:r>
      <w:r>
        <w:tab/>
      </w:r>
      <w:r>
        <w:fldChar w:fldCharType="begin"/>
      </w:r>
      <w:r>
        <w:instrText xml:space="preserve"> PAGEREF _Toc237529666 \h </w:instrText>
      </w:r>
      <w:r>
        <w:fldChar w:fldCharType="separate"/>
      </w:r>
      <w:r>
        <w:t>26</w:t>
      </w:r>
      <w:r>
        <w:fldChar w:fldCharType="end"/>
      </w:r>
    </w:p>
    <w:p w14:paraId="27D83816" w14:textId="483F1C5B"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7.4 :</w:t>
      </w:r>
      <w:r>
        <w:rPr>
          <w:rFonts w:asciiTheme="minorHAnsi" w:eastAsiaTheme="minorEastAsia" w:hAnsiTheme="minorHAnsi" w:cstheme="minorBidi"/>
          <w:sz w:val="22"/>
          <w:szCs w:val="22"/>
        </w:rPr>
        <w:tab/>
      </w:r>
      <w:r w:rsidRPr="008F13B6">
        <w:rPr>
          <w:rFonts w:ascii="Open Sans" w:hAnsi="Open Sans" w:cs="Open Sans"/>
          <w:color w:val="000000" w:themeColor="text1"/>
        </w:rPr>
        <w:t>Clause des 72 heures</w:t>
      </w:r>
      <w:r>
        <w:tab/>
      </w:r>
      <w:r>
        <w:fldChar w:fldCharType="begin"/>
      </w:r>
      <w:r>
        <w:instrText xml:space="preserve"> PAGEREF _Toc237529667 \h </w:instrText>
      </w:r>
      <w:r>
        <w:fldChar w:fldCharType="separate"/>
      </w:r>
      <w:r>
        <w:t>26</w:t>
      </w:r>
      <w:r>
        <w:fldChar w:fldCharType="end"/>
      </w:r>
    </w:p>
    <w:p w14:paraId="2CEC7A16" w14:textId="692E148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7.5 :</w:t>
      </w:r>
      <w:r>
        <w:rPr>
          <w:rFonts w:asciiTheme="minorHAnsi" w:eastAsiaTheme="minorEastAsia" w:hAnsiTheme="minorHAnsi" w:cstheme="minorBidi"/>
          <w:sz w:val="22"/>
          <w:szCs w:val="22"/>
        </w:rPr>
        <w:tab/>
      </w:r>
      <w:r w:rsidRPr="008F13B6">
        <w:rPr>
          <w:rFonts w:ascii="Open Sans" w:hAnsi="Open Sans" w:cs="Open Sans"/>
          <w:color w:val="000000" w:themeColor="text1"/>
        </w:rPr>
        <w:t>Clause incendie</w:t>
      </w:r>
      <w:r>
        <w:tab/>
      </w:r>
      <w:r>
        <w:fldChar w:fldCharType="begin"/>
      </w:r>
      <w:r>
        <w:instrText xml:space="preserve"> PAGEREF _Toc237529668 \h </w:instrText>
      </w:r>
      <w:r>
        <w:fldChar w:fldCharType="separate"/>
      </w:r>
      <w:r>
        <w:t>26</w:t>
      </w:r>
      <w:r>
        <w:fldChar w:fldCharType="end"/>
      </w:r>
    </w:p>
    <w:p w14:paraId="07146C85" w14:textId="69C2BC6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7.6 :</w:t>
      </w:r>
      <w:r>
        <w:rPr>
          <w:rFonts w:asciiTheme="minorHAnsi" w:eastAsiaTheme="minorEastAsia" w:hAnsiTheme="minorHAnsi" w:cstheme="minorBidi"/>
          <w:sz w:val="22"/>
          <w:szCs w:val="22"/>
        </w:rPr>
        <w:tab/>
      </w:r>
      <w:r w:rsidRPr="008F13B6">
        <w:rPr>
          <w:rFonts w:ascii="Open Sans" w:hAnsi="Open Sans" w:cs="Open Sans"/>
          <w:color w:val="000000" w:themeColor="text1"/>
        </w:rPr>
        <w:t>Règlement des sinistres</w:t>
      </w:r>
      <w:r>
        <w:tab/>
      </w:r>
      <w:r>
        <w:fldChar w:fldCharType="begin"/>
      </w:r>
      <w:r>
        <w:instrText xml:space="preserve"> PAGEREF _Toc237529669 \h </w:instrText>
      </w:r>
      <w:r>
        <w:fldChar w:fldCharType="separate"/>
      </w:r>
      <w:r>
        <w:t>26</w:t>
      </w:r>
      <w:r>
        <w:fldChar w:fldCharType="end"/>
      </w:r>
    </w:p>
    <w:p w14:paraId="3593EB94" w14:textId="4CBB2FD0"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8 :</w:t>
      </w:r>
      <w:r w:rsidRPr="008F13B6">
        <w:rPr>
          <w:noProof/>
        </w:rPr>
        <w:t xml:space="preserve"> PRIME</w:t>
      </w:r>
      <w:r>
        <w:rPr>
          <w:noProof/>
        </w:rPr>
        <w:tab/>
      </w:r>
      <w:r>
        <w:rPr>
          <w:noProof/>
        </w:rPr>
        <w:fldChar w:fldCharType="begin"/>
      </w:r>
      <w:r>
        <w:rPr>
          <w:noProof/>
        </w:rPr>
        <w:instrText xml:space="preserve"> PAGEREF _Toc237529670 \h </w:instrText>
      </w:r>
      <w:r>
        <w:rPr>
          <w:noProof/>
        </w:rPr>
      </w:r>
      <w:r>
        <w:rPr>
          <w:noProof/>
        </w:rPr>
        <w:fldChar w:fldCharType="separate"/>
      </w:r>
      <w:r>
        <w:rPr>
          <w:noProof/>
        </w:rPr>
        <w:t>27</w:t>
      </w:r>
      <w:r>
        <w:rPr>
          <w:noProof/>
        </w:rPr>
        <w:fldChar w:fldCharType="end"/>
      </w:r>
    </w:p>
    <w:p w14:paraId="06C16EA0" w14:textId="7EB83AF8"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8.1 :</w:t>
      </w:r>
      <w:r>
        <w:rPr>
          <w:rFonts w:asciiTheme="minorHAnsi" w:eastAsiaTheme="minorEastAsia" w:hAnsiTheme="minorHAnsi" w:cstheme="minorBidi"/>
          <w:sz w:val="22"/>
          <w:szCs w:val="22"/>
        </w:rPr>
        <w:tab/>
      </w:r>
      <w:r w:rsidRPr="008F13B6">
        <w:rPr>
          <w:rFonts w:ascii="Open Sans" w:hAnsi="Open Sans" w:cs="Open Sans"/>
          <w:color w:val="000000" w:themeColor="text1"/>
        </w:rPr>
        <w:t>Calcul de la prime</w:t>
      </w:r>
      <w:r>
        <w:tab/>
      </w:r>
      <w:r>
        <w:fldChar w:fldCharType="begin"/>
      </w:r>
      <w:r>
        <w:instrText xml:space="preserve"> PAGEREF _Toc237529671 \h </w:instrText>
      </w:r>
      <w:r>
        <w:fldChar w:fldCharType="separate"/>
      </w:r>
      <w:r>
        <w:t>27</w:t>
      </w:r>
      <w:r>
        <w:fldChar w:fldCharType="end"/>
      </w:r>
    </w:p>
    <w:p w14:paraId="45BDAC24" w14:textId="5D1A4F0A"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8.2 :</w:t>
      </w:r>
      <w:r>
        <w:rPr>
          <w:rFonts w:asciiTheme="minorHAnsi" w:eastAsiaTheme="minorEastAsia" w:hAnsiTheme="minorHAnsi" w:cstheme="minorBidi"/>
          <w:sz w:val="22"/>
          <w:szCs w:val="22"/>
        </w:rPr>
        <w:tab/>
      </w:r>
      <w:r w:rsidRPr="008F13B6">
        <w:rPr>
          <w:rFonts w:ascii="Open Sans" w:hAnsi="Open Sans" w:cs="Open Sans"/>
          <w:color w:val="000000" w:themeColor="text1"/>
        </w:rPr>
        <w:t>Paiement des primes</w:t>
      </w:r>
      <w:r>
        <w:tab/>
      </w:r>
      <w:r>
        <w:fldChar w:fldCharType="begin"/>
      </w:r>
      <w:r>
        <w:instrText xml:space="preserve"> PAGEREF _Toc237529672 \h </w:instrText>
      </w:r>
      <w:r>
        <w:fldChar w:fldCharType="separate"/>
      </w:r>
      <w:r>
        <w:t>27</w:t>
      </w:r>
      <w:r>
        <w:fldChar w:fldCharType="end"/>
      </w:r>
    </w:p>
    <w:p w14:paraId="1881CDE0" w14:textId="3E728B17"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8.3 :</w:t>
      </w:r>
      <w:r>
        <w:rPr>
          <w:rFonts w:asciiTheme="minorHAnsi" w:eastAsiaTheme="minorEastAsia" w:hAnsiTheme="minorHAnsi" w:cstheme="minorBidi"/>
          <w:sz w:val="22"/>
          <w:szCs w:val="22"/>
        </w:rPr>
        <w:tab/>
      </w:r>
      <w:r w:rsidRPr="008F13B6">
        <w:rPr>
          <w:rFonts w:ascii="Open Sans" w:hAnsi="Open Sans" w:cs="Open Sans"/>
          <w:color w:val="000000" w:themeColor="text1"/>
        </w:rPr>
        <w:t>Régularisation</w:t>
      </w:r>
      <w:r>
        <w:tab/>
      </w:r>
      <w:r>
        <w:fldChar w:fldCharType="begin"/>
      </w:r>
      <w:r>
        <w:instrText xml:space="preserve"> PAGEREF _Toc237529673 \h </w:instrText>
      </w:r>
      <w:r>
        <w:fldChar w:fldCharType="separate"/>
      </w:r>
      <w:r>
        <w:t>27</w:t>
      </w:r>
      <w:r>
        <w:fldChar w:fldCharType="end"/>
      </w:r>
    </w:p>
    <w:p w14:paraId="46C3DA53" w14:textId="2FA6AB17"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9 :</w:t>
      </w:r>
      <w:r w:rsidRPr="008F13B6">
        <w:rPr>
          <w:noProof/>
        </w:rPr>
        <w:t xml:space="preserve"> DUREE DE LA GARANTIE</w:t>
      </w:r>
      <w:r>
        <w:rPr>
          <w:noProof/>
        </w:rPr>
        <w:tab/>
      </w:r>
      <w:r>
        <w:rPr>
          <w:noProof/>
        </w:rPr>
        <w:fldChar w:fldCharType="begin"/>
      </w:r>
      <w:r>
        <w:rPr>
          <w:noProof/>
        </w:rPr>
        <w:instrText xml:space="preserve"> PAGEREF _Toc237529674 \h </w:instrText>
      </w:r>
      <w:r>
        <w:rPr>
          <w:noProof/>
        </w:rPr>
      </w:r>
      <w:r>
        <w:rPr>
          <w:noProof/>
        </w:rPr>
        <w:fldChar w:fldCharType="separate"/>
      </w:r>
      <w:r>
        <w:rPr>
          <w:noProof/>
        </w:rPr>
        <w:t>27</w:t>
      </w:r>
      <w:r>
        <w:rPr>
          <w:noProof/>
        </w:rPr>
        <w:fldChar w:fldCharType="end"/>
      </w:r>
    </w:p>
    <w:p w14:paraId="629B74B9" w14:textId="430F2DEE"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9.1 :</w:t>
      </w:r>
      <w:r>
        <w:rPr>
          <w:rFonts w:asciiTheme="minorHAnsi" w:eastAsiaTheme="minorEastAsia" w:hAnsiTheme="minorHAnsi" w:cstheme="minorBidi"/>
          <w:sz w:val="22"/>
          <w:szCs w:val="22"/>
        </w:rPr>
        <w:tab/>
      </w:r>
      <w:r w:rsidRPr="008F13B6">
        <w:rPr>
          <w:rFonts w:ascii="Open Sans" w:hAnsi="Open Sans" w:cs="Open Sans"/>
          <w:color w:val="000000" w:themeColor="text1"/>
        </w:rPr>
        <w:t>Point de départ de la garantie</w:t>
      </w:r>
      <w:r>
        <w:tab/>
      </w:r>
      <w:r>
        <w:fldChar w:fldCharType="begin"/>
      </w:r>
      <w:r>
        <w:instrText xml:space="preserve"> PAGEREF _Toc237529675 \h </w:instrText>
      </w:r>
      <w:r>
        <w:fldChar w:fldCharType="separate"/>
      </w:r>
      <w:r>
        <w:t>27</w:t>
      </w:r>
      <w:r>
        <w:fldChar w:fldCharType="end"/>
      </w:r>
    </w:p>
    <w:p w14:paraId="00D9BD7E" w14:textId="64FECA43" w:rsidR="0053498F" w:rsidRDefault="0053498F">
      <w:pPr>
        <w:pStyle w:val="TM3"/>
        <w:rPr>
          <w:rFonts w:asciiTheme="minorHAnsi" w:eastAsiaTheme="minorEastAsia" w:hAnsiTheme="minorHAnsi" w:cstheme="minorBidi"/>
          <w:sz w:val="22"/>
          <w:szCs w:val="22"/>
        </w:rPr>
      </w:pPr>
      <w:r w:rsidRPr="008F13B6">
        <w:rPr>
          <w:rFonts w:ascii="Open Sans" w:hAnsi="Open Sans" w:cs="Open Sans"/>
          <w:color w:val="000000" w:themeColor="text1"/>
        </w:rPr>
        <w:t>9.2 :</w:t>
      </w:r>
      <w:r>
        <w:rPr>
          <w:rFonts w:asciiTheme="minorHAnsi" w:eastAsiaTheme="minorEastAsia" w:hAnsiTheme="minorHAnsi" w:cstheme="minorBidi"/>
          <w:sz w:val="22"/>
          <w:szCs w:val="22"/>
        </w:rPr>
        <w:tab/>
      </w:r>
      <w:r w:rsidRPr="008F13B6">
        <w:rPr>
          <w:rFonts w:ascii="Open Sans" w:hAnsi="Open Sans" w:cs="Open Sans"/>
          <w:color w:val="000000" w:themeColor="text1"/>
        </w:rPr>
        <w:t>Fin de la garantie</w:t>
      </w:r>
      <w:r>
        <w:tab/>
      </w:r>
      <w:r>
        <w:fldChar w:fldCharType="begin"/>
      </w:r>
      <w:r>
        <w:instrText xml:space="preserve"> PAGEREF _Toc237529676 \h </w:instrText>
      </w:r>
      <w:r>
        <w:fldChar w:fldCharType="separate"/>
      </w:r>
      <w:r>
        <w:t>27</w:t>
      </w:r>
      <w:r>
        <w:fldChar w:fldCharType="end"/>
      </w:r>
    </w:p>
    <w:p w14:paraId="3C474DE9" w14:textId="1DDE3EA6" w:rsidR="0053498F" w:rsidRDefault="0053498F">
      <w:pPr>
        <w:pStyle w:val="TM2"/>
        <w:tabs>
          <w:tab w:val="right" w:leader="dot" w:pos="9345"/>
        </w:tabs>
        <w:rPr>
          <w:rFonts w:asciiTheme="minorHAnsi" w:eastAsiaTheme="minorEastAsia" w:hAnsiTheme="minorHAnsi" w:cstheme="minorBidi"/>
          <w:noProof/>
          <w:color w:val="auto"/>
          <w:sz w:val="22"/>
          <w:szCs w:val="22"/>
        </w:rPr>
      </w:pPr>
      <w:r>
        <w:rPr>
          <w:noProof/>
        </w:rPr>
        <w:t>ARTICLE 10 : DEROGATIONS</w:t>
      </w:r>
      <w:r>
        <w:rPr>
          <w:noProof/>
        </w:rPr>
        <w:tab/>
      </w:r>
      <w:r>
        <w:rPr>
          <w:noProof/>
        </w:rPr>
        <w:fldChar w:fldCharType="begin"/>
      </w:r>
      <w:r>
        <w:rPr>
          <w:noProof/>
        </w:rPr>
        <w:instrText xml:space="preserve"> PAGEREF _Toc237529677 \h </w:instrText>
      </w:r>
      <w:r>
        <w:rPr>
          <w:noProof/>
        </w:rPr>
      </w:r>
      <w:r>
        <w:rPr>
          <w:noProof/>
        </w:rPr>
        <w:fldChar w:fldCharType="separate"/>
      </w:r>
      <w:r>
        <w:rPr>
          <w:noProof/>
        </w:rPr>
        <w:t>28</w:t>
      </w:r>
      <w:r>
        <w:rPr>
          <w:noProof/>
        </w:rPr>
        <w:fldChar w:fldCharType="end"/>
      </w:r>
    </w:p>
    <w:p w14:paraId="2F75344D" w14:textId="1684B3E6" w:rsidR="00AA08B1"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fldChar w:fldCharType="end"/>
      </w:r>
    </w:p>
    <w:p w14:paraId="5A571D6A" w14:textId="77777777" w:rsidR="00AA08B1" w:rsidRDefault="00AA08B1">
      <w:pPr>
        <w:jc w:val="left"/>
        <w:rPr>
          <w:rFonts w:ascii="Open Sans" w:hAnsi="Open Sans" w:cs="Open Sans"/>
          <w:color w:val="000000" w:themeColor="text1"/>
          <w:sz w:val="18"/>
          <w:szCs w:val="18"/>
        </w:rPr>
      </w:pPr>
      <w:r>
        <w:rPr>
          <w:rFonts w:ascii="Open Sans" w:hAnsi="Open Sans" w:cs="Open Sans"/>
          <w:color w:val="000000" w:themeColor="text1"/>
          <w:sz w:val="18"/>
          <w:szCs w:val="18"/>
        </w:rPr>
        <w:br w:type="page"/>
      </w:r>
    </w:p>
    <w:p w14:paraId="40FF4A02" w14:textId="6EA52B14" w:rsidR="006E1CFB" w:rsidRPr="002B6FC0" w:rsidRDefault="007B231D" w:rsidP="00316DF6">
      <w:pPr>
        <w:pStyle w:val="Titre2"/>
      </w:pPr>
      <w:bookmarkStart w:id="1" w:name="_Toc237529610"/>
      <w:bookmarkStart w:id="2" w:name="a1"/>
      <w:r w:rsidRPr="002B6FC0">
        <w:lastRenderedPageBreak/>
        <w:t>DISPOSITIONS GENERALES</w:t>
      </w:r>
      <w:bookmarkEnd w:id="1"/>
      <w:r w:rsidRPr="002B6FC0">
        <w:t xml:space="preserve"> </w:t>
      </w:r>
    </w:p>
    <w:p w14:paraId="0CD5A405" w14:textId="0F9A6519" w:rsidR="006E1CFB" w:rsidRPr="002B6FC0" w:rsidRDefault="006E1CFB" w:rsidP="00934C76">
      <w:pPr>
        <w:pStyle w:val="Titre3"/>
        <w:spacing w:after="200"/>
        <w:rPr>
          <w:rFonts w:ascii="Open Sans" w:hAnsi="Open Sans" w:cs="Open Sans"/>
          <w:color w:val="000000" w:themeColor="text1"/>
        </w:rPr>
      </w:pPr>
      <w:bookmarkStart w:id="3" w:name="_Toc237529611"/>
      <w:bookmarkEnd w:id="2"/>
      <w:r w:rsidRPr="002B6FC0">
        <w:rPr>
          <w:rFonts w:ascii="Open Sans" w:hAnsi="Open Sans" w:cs="Open Sans"/>
          <w:color w:val="000000" w:themeColor="text1"/>
        </w:rPr>
        <w:t>Objet</w:t>
      </w:r>
      <w:bookmarkEnd w:id="3"/>
    </w:p>
    <w:p w14:paraId="2FBE2860" w14:textId="77777777" w:rsidR="004D7DDA" w:rsidRPr="00D22F72" w:rsidRDefault="00F83AE8" w:rsidP="004D7DDA">
      <w:pPr>
        <w:rPr>
          <w:rFonts w:ascii="Open Sans" w:hAnsi="Open Sans" w:cs="Open Sans"/>
          <w:iCs/>
          <w:color w:val="000000" w:themeColor="text1"/>
          <w:sz w:val="18"/>
        </w:rPr>
      </w:pPr>
      <w:r w:rsidRPr="002B6FC0">
        <w:rPr>
          <w:rFonts w:ascii="Open Sans" w:hAnsi="Open Sans" w:cs="Open Sans"/>
          <w:color w:val="000000" w:themeColor="text1"/>
          <w:sz w:val="18"/>
        </w:rPr>
        <w:t>Le marché a pour objet “</w:t>
      </w:r>
      <w:r w:rsidR="006254F0" w:rsidRPr="006254F0">
        <w:rPr>
          <w:rFonts w:ascii="Open Sans" w:hAnsi="Open Sans" w:cs="Open Sans"/>
          <w:iCs/>
          <w:color w:val="000000" w:themeColor="text1"/>
          <w:sz w:val="18"/>
          <w:szCs w:val="18"/>
        </w:rPr>
        <w:t xml:space="preserve"> </w:t>
      </w:r>
      <w:r w:rsidR="006254F0" w:rsidRPr="00C86318">
        <w:rPr>
          <w:rFonts w:ascii="Open Sans" w:hAnsi="Open Sans" w:cs="Open Sans"/>
          <w:iCs/>
          <w:color w:val="000000" w:themeColor="text1"/>
          <w:sz w:val="18"/>
          <w:szCs w:val="18"/>
        </w:rPr>
        <w:t xml:space="preserve">Assurance construction responsabilité civile pour l'Hôpital Universitaire Grand Paris </w:t>
      </w:r>
      <w:r w:rsidR="006254F0" w:rsidRPr="00D22F72">
        <w:rPr>
          <w:rFonts w:ascii="Open Sans" w:hAnsi="Open Sans" w:cs="Open Sans"/>
          <w:iCs/>
          <w:color w:val="000000" w:themeColor="text1"/>
          <w:sz w:val="18"/>
          <w:szCs w:val="18"/>
        </w:rPr>
        <w:t xml:space="preserve">Nord, Lot n°1 : </w:t>
      </w:r>
      <w:r w:rsidR="00A37A87">
        <w:rPr>
          <w:rFonts w:ascii="Open Sans" w:hAnsi="Open Sans" w:cs="Open Sans"/>
          <w:iCs/>
          <w:color w:val="000000" w:themeColor="text1"/>
          <w:sz w:val="18"/>
          <w:szCs w:val="18"/>
        </w:rPr>
        <w:t>Tous Risques Chantiers</w:t>
      </w:r>
      <w:r w:rsidRPr="00D22F72">
        <w:rPr>
          <w:rFonts w:ascii="Open Sans" w:hAnsi="Open Sans" w:cs="Open Sans"/>
          <w:iCs/>
          <w:color w:val="000000" w:themeColor="text1"/>
          <w:sz w:val="18"/>
        </w:rPr>
        <w:t xml:space="preserve">”, </w:t>
      </w:r>
      <w:r w:rsidR="004D7DDA" w:rsidRPr="00D22F72">
        <w:rPr>
          <w:rFonts w:ascii="Open Sans" w:hAnsi="Open Sans" w:cs="Open Sans"/>
          <w:iCs/>
          <w:color w:val="000000" w:themeColor="text1"/>
          <w:sz w:val="18"/>
        </w:rPr>
        <w:t>nécessaire aux besoins du siège de l’Assistance Publique - Hôpitaux de Paris</w:t>
      </w:r>
      <w:r w:rsidR="004D7DDA">
        <w:rPr>
          <w:rFonts w:ascii="Open Sans" w:hAnsi="Open Sans" w:cs="Open Sans"/>
          <w:iCs/>
          <w:color w:val="000000" w:themeColor="text1"/>
          <w:sz w:val="18"/>
        </w:rPr>
        <w:t>,</w:t>
      </w:r>
      <w:r w:rsidR="004D7DDA" w:rsidRPr="003C2FF1">
        <w:rPr>
          <w:rFonts w:ascii="Open Sans" w:hAnsi="Open Sans" w:cs="Open Sans"/>
          <w:iCs/>
          <w:color w:val="000000" w:themeColor="text1"/>
          <w:sz w:val="18"/>
        </w:rPr>
        <w:t xml:space="preserve"> </w:t>
      </w:r>
      <w:r w:rsidR="004D7DDA" w:rsidRPr="00D22F72">
        <w:rPr>
          <w:rFonts w:ascii="Open Sans" w:hAnsi="Open Sans" w:cs="Open Sans"/>
          <w:iCs/>
          <w:color w:val="000000" w:themeColor="text1"/>
          <w:sz w:val="18"/>
        </w:rPr>
        <w:t>Département Immobilier et Investissements</w:t>
      </w:r>
      <w:r w:rsidR="004D7DDA">
        <w:rPr>
          <w:rFonts w:ascii="Open Sans" w:hAnsi="Open Sans" w:cs="Open Sans"/>
          <w:iCs/>
          <w:color w:val="000000" w:themeColor="text1"/>
          <w:sz w:val="18"/>
        </w:rPr>
        <w:t xml:space="preserve"> – DEFIP AP-HP.</w:t>
      </w:r>
      <w:r w:rsidR="004D7DDA" w:rsidRPr="00D22F72">
        <w:rPr>
          <w:rFonts w:ascii="Open Sans" w:hAnsi="Open Sans" w:cs="Open Sans"/>
          <w:iCs/>
          <w:color w:val="000000" w:themeColor="text1"/>
          <w:sz w:val="18"/>
        </w:rPr>
        <w:t xml:space="preserve"> </w:t>
      </w:r>
    </w:p>
    <w:p w14:paraId="362BB2BC" w14:textId="2D1FC278" w:rsidR="00F83AE8" w:rsidRPr="00D22F72" w:rsidRDefault="00F83AE8" w:rsidP="006254F0">
      <w:pPr>
        <w:rPr>
          <w:rFonts w:ascii="Open Sans" w:hAnsi="Open Sans" w:cs="Open Sans"/>
          <w:iCs/>
          <w:color w:val="000000" w:themeColor="text1"/>
          <w:sz w:val="18"/>
        </w:rPr>
      </w:pPr>
    </w:p>
    <w:p w14:paraId="38F4D6E4" w14:textId="2EDB13FB" w:rsidR="00F83AE8" w:rsidRPr="002B6FC0" w:rsidRDefault="00F83AE8" w:rsidP="009A0789">
      <w:pPr>
        <w:pStyle w:val="Titre3"/>
        <w:spacing w:before="240" w:after="200"/>
        <w:rPr>
          <w:rFonts w:ascii="Open Sans" w:hAnsi="Open Sans" w:cs="Open Sans"/>
          <w:color w:val="000000" w:themeColor="text1"/>
        </w:rPr>
      </w:pPr>
      <w:bookmarkStart w:id="4" w:name="_Toc237529612"/>
      <w:r w:rsidRPr="002B6FC0">
        <w:rPr>
          <w:rFonts w:ascii="Open Sans" w:hAnsi="Open Sans" w:cs="Open Sans"/>
          <w:color w:val="000000" w:themeColor="text1"/>
        </w:rPr>
        <w:t>Durée</w:t>
      </w:r>
      <w:bookmarkEnd w:id="4"/>
    </w:p>
    <w:p w14:paraId="5AF904CD" w14:textId="77777777" w:rsidR="00A37A87" w:rsidRDefault="00A37A87" w:rsidP="00A37A87">
      <w:pPr>
        <w:rPr>
          <w:rFonts w:ascii="Open Sans" w:hAnsi="Open Sans" w:cs="Open Sans"/>
          <w:color w:val="000000" w:themeColor="text1"/>
          <w:sz w:val="18"/>
          <w:szCs w:val="18"/>
        </w:rPr>
      </w:pPr>
      <w:r w:rsidRPr="00A37A87">
        <w:rPr>
          <w:rFonts w:ascii="Open Sans" w:hAnsi="Open Sans" w:cs="Open Sans"/>
          <w:color w:val="000000" w:themeColor="text1"/>
          <w:sz w:val="18"/>
          <w:szCs w:val="18"/>
        </w:rPr>
        <w:t>Le présent marché d’assurances prendra effet à compter de sa date de notification au titulaire.</w:t>
      </w:r>
    </w:p>
    <w:p w14:paraId="1E3A06FD" w14:textId="77777777" w:rsidR="00A37A87" w:rsidRPr="00A37A87" w:rsidRDefault="00A37A87" w:rsidP="00A37A87">
      <w:pPr>
        <w:rPr>
          <w:rFonts w:ascii="Open Sans" w:hAnsi="Open Sans" w:cs="Open Sans"/>
          <w:color w:val="000000" w:themeColor="text1"/>
          <w:sz w:val="18"/>
          <w:szCs w:val="18"/>
        </w:rPr>
      </w:pPr>
    </w:p>
    <w:p w14:paraId="332ADB92" w14:textId="77777777" w:rsidR="00A37A87" w:rsidRDefault="00A37A87" w:rsidP="00A37A87">
      <w:pPr>
        <w:rPr>
          <w:rFonts w:ascii="Open Sans" w:hAnsi="Open Sans" w:cs="Open Sans"/>
          <w:color w:val="000000" w:themeColor="text1"/>
          <w:sz w:val="18"/>
          <w:szCs w:val="18"/>
        </w:rPr>
      </w:pPr>
      <w:r w:rsidRPr="00A37A87">
        <w:rPr>
          <w:rFonts w:ascii="Open Sans" w:hAnsi="Open Sans" w:cs="Open Sans"/>
          <w:color w:val="000000" w:themeColor="text1"/>
          <w:sz w:val="18"/>
          <w:szCs w:val="18"/>
        </w:rPr>
        <w:t xml:space="preserve">La police d’assurance devra être exécutée à compter de la date de signature des parties au marché conformément à l’article L.112-4 du code des assurances. </w:t>
      </w:r>
    </w:p>
    <w:p w14:paraId="0E364AB5" w14:textId="77777777" w:rsidR="00A37A87" w:rsidRPr="00A37A87" w:rsidRDefault="00A37A87" w:rsidP="00A37A87">
      <w:pPr>
        <w:rPr>
          <w:rFonts w:ascii="Open Sans" w:hAnsi="Open Sans" w:cs="Open Sans"/>
          <w:color w:val="000000" w:themeColor="text1"/>
          <w:sz w:val="18"/>
          <w:szCs w:val="18"/>
        </w:rPr>
      </w:pPr>
    </w:p>
    <w:p w14:paraId="53DCACFD" w14:textId="77777777" w:rsidR="00A37A87" w:rsidRPr="00A37A87" w:rsidRDefault="00A37A87" w:rsidP="00A37A87">
      <w:pPr>
        <w:rPr>
          <w:rFonts w:ascii="Open Sans" w:hAnsi="Open Sans" w:cs="Open Sans"/>
          <w:color w:val="000000" w:themeColor="text1"/>
          <w:sz w:val="18"/>
          <w:szCs w:val="18"/>
        </w:rPr>
      </w:pPr>
      <w:r>
        <w:rPr>
          <w:rFonts w:ascii="Open Sans" w:hAnsi="Open Sans" w:cs="Open Sans"/>
          <w:color w:val="000000" w:themeColor="text1"/>
          <w:sz w:val="18"/>
          <w:szCs w:val="18"/>
        </w:rPr>
        <w:t>L</w:t>
      </w:r>
      <w:r w:rsidRPr="00A37A87">
        <w:rPr>
          <w:rFonts w:ascii="Open Sans" w:hAnsi="Open Sans" w:cs="Open Sans"/>
          <w:color w:val="000000" w:themeColor="text1"/>
          <w:sz w:val="18"/>
          <w:szCs w:val="18"/>
        </w:rPr>
        <w:t>e marché pourra être prolongé dans les conditions suivantes applicables pour la période de prolongation :</w:t>
      </w:r>
    </w:p>
    <w:p w14:paraId="53E53855" w14:textId="77777777" w:rsidR="00A37A87" w:rsidRPr="00A37A87" w:rsidRDefault="00A37A87" w:rsidP="00316DF6">
      <w:pPr>
        <w:numPr>
          <w:ilvl w:val="0"/>
          <w:numId w:val="9"/>
        </w:numPr>
        <w:rPr>
          <w:rFonts w:ascii="Open Sans" w:hAnsi="Open Sans" w:cs="Open Sans"/>
          <w:bCs/>
          <w:color w:val="000000" w:themeColor="text1"/>
          <w:sz w:val="18"/>
          <w:szCs w:val="18"/>
        </w:rPr>
      </w:pPr>
      <w:r w:rsidRPr="00A37A87">
        <w:rPr>
          <w:rFonts w:ascii="Open Sans" w:hAnsi="Open Sans" w:cs="Open Sans"/>
          <w:bCs/>
          <w:color w:val="000000" w:themeColor="text1"/>
          <w:sz w:val="18"/>
          <w:szCs w:val="18"/>
        </w:rPr>
        <w:t xml:space="preserve">6 premiers mois, dans les conditions initiales de la police, sans augmentation de cotisation ; </w:t>
      </w:r>
    </w:p>
    <w:p w14:paraId="4F54EBB4" w14:textId="2B4B678A" w:rsidR="00F83AE8" w:rsidRPr="00A37A87" w:rsidRDefault="00A37A87" w:rsidP="00316DF6">
      <w:pPr>
        <w:numPr>
          <w:ilvl w:val="0"/>
          <w:numId w:val="9"/>
        </w:numPr>
        <w:rPr>
          <w:rFonts w:ascii="Open Sans" w:hAnsi="Open Sans" w:cs="Open Sans"/>
          <w:bCs/>
          <w:color w:val="000000" w:themeColor="text1"/>
          <w:sz w:val="18"/>
          <w:szCs w:val="18"/>
        </w:rPr>
      </w:pPr>
      <w:r w:rsidRPr="00A37A87">
        <w:rPr>
          <w:rFonts w:ascii="Open Sans" w:hAnsi="Open Sans" w:cs="Open Sans"/>
          <w:bCs/>
          <w:color w:val="000000" w:themeColor="text1"/>
          <w:sz w:val="18"/>
          <w:szCs w:val="18"/>
        </w:rPr>
        <w:t xml:space="preserve">Pour les 6 mois suivant : le taux de prolongation sera applicable « prorata </w:t>
      </w:r>
      <w:proofErr w:type="spellStart"/>
      <w:r w:rsidRPr="00A37A87">
        <w:rPr>
          <w:rFonts w:ascii="Open Sans" w:hAnsi="Open Sans" w:cs="Open Sans"/>
          <w:bCs/>
          <w:color w:val="000000" w:themeColor="text1"/>
          <w:sz w:val="18"/>
          <w:szCs w:val="18"/>
        </w:rPr>
        <w:t>temporis</w:t>
      </w:r>
      <w:proofErr w:type="spellEnd"/>
      <w:r w:rsidRPr="00A37A87">
        <w:rPr>
          <w:rFonts w:ascii="Open Sans" w:hAnsi="Open Sans" w:cs="Open Sans"/>
          <w:bCs/>
          <w:color w:val="000000" w:themeColor="text1"/>
          <w:sz w:val="18"/>
          <w:szCs w:val="18"/>
        </w:rPr>
        <w:t xml:space="preserve"> » (taux / Nombre de mois prévu initialement) applicable par mois commencé ; </w:t>
      </w:r>
      <w:r w:rsidR="00F83AE8" w:rsidRPr="00A37A87">
        <w:rPr>
          <w:rFonts w:ascii="Open Sans" w:hAnsi="Open Sans" w:cs="Open Sans"/>
          <w:i/>
          <w:color w:val="000000" w:themeColor="text1"/>
          <w:sz w:val="18"/>
        </w:rPr>
        <w:t>.</w:t>
      </w:r>
    </w:p>
    <w:p w14:paraId="5E937128" w14:textId="77777777" w:rsidR="00387FF7" w:rsidRPr="002B6FC0" w:rsidRDefault="00387FF7" w:rsidP="00A37A87">
      <w:pPr>
        <w:pStyle w:val="Titre3"/>
        <w:spacing w:before="240" w:after="200"/>
        <w:rPr>
          <w:rFonts w:ascii="Open Sans" w:hAnsi="Open Sans" w:cs="Open Sans"/>
          <w:color w:val="000000" w:themeColor="text1"/>
        </w:rPr>
      </w:pPr>
      <w:r w:rsidRPr="002B6FC0">
        <w:rPr>
          <w:rFonts w:ascii="Open Sans" w:hAnsi="Open Sans" w:cs="Open Sans"/>
          <w:color w:val="000000" w:themeColor="text1"/>
        </w:rPr>
        <w:t> </w:t>
      </w:r>
      <w:bookmarkStart w:id="5" w:name="_Toc237529613"/>
      <w:r w:rsidRPr="002B6FC0">
        <w:rPr>
          <w:rFonts w:ascii="Open Sans" w:hAnsi="Open Sans" w:cs="Open Sans"/>
          <w:color w:val="000000" w:themeColor="text1"/>
        </w:rPr>
        <w:t>Lieu d’execution des prestations</w:t>
      </w:r>
      <w:bookmarkEnd w:id="5"/>
      <w:r w:rsidRPr="002B6FC0">
        <w:rPr>
          <w:rFonts w:ascii="Open Sans" w:hAnsi="Open Sans" w:cs="Open Sans"/>
          <w:color w:val="000000" w:themeColor="text1"/>
        </w:rPr>
        <w:t xml:space="preserve"> </w:t>
      </w:r>
    </w:p>
    <w:p w14:paraId="27E0E2F0" w14:textId="70F1DF38" w:rsidR="00387FF7" w:rsidRDefault="00387FF7"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Les prestations objet du marché sont exécutées par le(s)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(s) dans </w:t>
      </w:r>
      <w:r w:rsidR="006254F0">
        <w:rPr>
          <w:rFonts w:ascii="Open Sans" w:hAnsi="Open Sans" w:cs="Open Sans"/>
          <w:color w:val="000000" w:themeColor="text1"/>
          <w:sz w:val="18"/>
        </w:rPr>
        <w:t xml:space="preserve">le cadre de </w:t>
      </w:r>
      <w:r w:rsidR="006254F0" w:rsidRPr="006254F0">
        <w:rPr>
          <w:rFonts w:ascii="Open Sans" w:hAnsi="Open Sans" w:cs="Open Sans"/>
          <w:bCs/>
          <w:iCs/>
          <w:color w:val="000000" w:themeColor="text1"/>
          <w:sz w:val="18"/>
        </w:rPr>
        <w:t>Construction de l’Hôpital Universitaire Saint Ouen Grand Paris Nord (HUSOGPN) au 23 avenue du capitaine Glarner 93400 Saint Ouen sur Seine</w:t>
      </w:r>
      <w:r w:rsidR="00E60BFB" w:rsidRPr="002B6FC0">
        <w:rPr>
          <w:rFonts w:ascii="Open Sans" w:hAnsi="Open Sans" w:cs="Open Sans"/>
          <w:color w:val="000000" w:themeColor="text1"/>
          <w:sz w:val="18"/>
        </w:rPr>
        <w:t>.</w:t>
      </w:r>
      <w:r w:rsidRPr="002B6FC0">
        <w:rPr>
          <w:rFonts w:ascii="Open Sans" w:hAnsi="Open Sans" w:cs="Open Sans"/>
          <w:color w:val="000000" w:themeColor="text1"/>
          <w:sz w:val="18"/>
        </w:rPr>
        <w:t xml:space="preserve"> </w:t>
      </w:r>
    </w:p>
    <w:p w14:paraId="7E5826B2" w14:textId="77777777" w:rsidR="00AA08B1" w:rsidRPr="00D22F72" w:rsidRDefault="00AA08B1" w:rsidP="00AA08B1">
      <w:pPr>
        <w:pStyle w:val="Titre3"/>
        <w:spacing w:after="200"/>
        <w:rPr>
          <w:rFonts w:ascii="Open Sans" w:hAnsi="Open Sans" w:cs="Open Sans"/>
          <w:color w:val="000000" w:themeColor="text1"/>
        </w:rPr>
      </w:pPr>
      <w:bookmarkStart w:id="6" w:name="_Toc237529614"/>
      <w:r w:rsidRPr="00D22F72">
        <w:rPr>
          <w:rFonts w:ascii="Open Sans" w:hAnsi="Open Sans" w:cs="Open Sans"/>
          <w:color w:val="000000" w:themeColor="text1"/>
        </w:rPr>
        <w:t>Forme du marché</w:t>
      </w:r>
      <w:bookmarkEnd w:id="6"/>
      <w:r w:rsidRPr="00D22F72">
        <w:rPr>
          <w:rFonts w:ascii="Open Sans" w:hAnsi="Open Sans" w:cs="Open Sans"/>
          <w:color w:val="000000" w:themeColor="text1"/>
        </w:rPr>
        <w:t xml:space="preserve"> </w:t>
      </w:r>
    </w:p>
    <w:p w14:paraId="16D17EEA" w14:textId="77777777" w:rsidR="00AA08B1" w:rsidRPr="00D22F72" w:rsidRDefault="00AA08B1" w:rsidP="00AA08B1">
      <w:pPr>
        <w:autoSpaceDE w:val="0"/>
        <w:autoSpaceDN w:val="0"/>
        <w:adjustRightInd w:val="0"/>
        <w:spacing w:after="200"/>
        <w:rPr>
          <w:rFonts w:ascii="Open Sans" w:eastAsiaTheme="minorHAnsi" w:hAnsi="Open Sans" w:cs="Open Sans"/>
          <w:color w:val="000000" w:themeColor="text1"/>
          <w:sz w:val="18"/>
          <w:lang w:eastAsia="en-US"/>
        </w:rPr>
      </w:pPr>
      <w:r w:rsidRPr="00D22F72">
        <w:rPr>
          <w:rFonts w:ascii="Open Sans" w:eastAsiaTheme="minorHAnsi" w:hAnsi="Open Sans" w:cs="Open Sans"/>
          <w:color w:val="000000" w:themeColor="text1"/>
          <w:sz w:val="18"/>
          <w:lang w:eastAsia="en-US"/>
        </w:rPr>
        <w:t>Le présent marché est conclu sous la forme d’un marché ordinaire.</w:t>
      </w:r>
    </w:p>
    <w:p w14:paraId="7DFEA168" w14:textId="77777777" w:rsidR="00AA08B1" w:rsidRPr="002B6FC0" w:rsidRDefault="00AA08B1" w:rsidP="00AA08B1">
      <w:pPr>
        <w:pStyle w:val="Titre3"/>
        <w:spacing w:after="200"/>
        <w:rPr>
          <w:rFonts w:ascii="Open Sans" w:hAnsi="Open Sans" w:cs="Open Sans"/>
          <w:color w:val="000000" w:themeColor="text1"/>
        </w:rPr>
      </w:pPr>
      <w:bookmarkStart w:id="7" w:name="_Toc237529615"/>
      <w:r w:rsidRPr="002B6FC0">
        <w:rPr>
          <w:rFonts w:ascii="Open Sans" w:hAnsi="Open Sans" w:cs="Open Sans"/>
          <w:color w:val="000000" w:themeColor="text1"/>
        </w:rPr>
        <w:t>Allotissement</w:t>
      </w:r>
      <w:bookmarkEnd w:id="7"/>
    </w:p>
    <w:p w14:paraId="2C832126" w14:textId="09671270" w:rsidR="00AA08B1" w:rsidRPr="00D22F72" w:rsidRDefault="00AA08B1" w:rsidP="00AA08B1">
      <w:pPr>
        <w:spacing w:after="200"/>
        <w:rPr>
          <w:rFonts w:ascii="Open Sans" w:hAnsi="Open Sans" w:cs="Open Sans"/>
          <w:iCs/>
          <w:color w:val="000000" w:themeColor="text1"/>
          <w:sz w:val="18"/>
          <w:szCs w:val="18"/>
        </w:rPr>
      </w:pPr>
      <w:r w:rsidRPr="00D22F72">
        <w:rPr>
          <w:rFonts w:ascii="Open Sans" w:hAnsi="Open Sans" w:cs="Open Sans"/>
          <w:iCs/>
          <w:color w:val="000000" w:themeColor="text1"/>
          <w:sz w:val="18"/>
          <w:szCs w:val="18"/>
        </w:rPr>
        <w:t xml:space="preserve">Le présent Cahier des clauses particulières est exclusif au lot n°1 : </w:t>
      </w:r>
      <w:r w:rsidR="00A37A87">
        <w:rPr>
          <w:rFonts w:ascii="Open Sans" w:hAnsi="Open Sans" w:cs="Open Sans"/>
          <w:iCs/>
          <w:color w:val="000000" w:themeColor="text1"/>
          <w:sz w:val="18"/>
          <w:szCs w:val="18"/>
        </w:rPr>
        <w:t>Tous Risques Chantier.</w:t>
      </w:r>
    </w:p>
    <w:p w14:paraId="12252C14" w14:textId="6A82CBE0" w:rsidR="00EF2CF5" w:rsidRPr="00EF2CF5" w:rsidRDefault="00EF2CF5" w:rsidP="00EF2CF5">
      <w:pPr>
        <w:pStyle w:val="Titre3"/>
        <w:spacing w:after="200"/>
        <w:rPr>
          <w:rFonts w:ascii="Open Sans" w:hAnsi="Open Sans" w:cs="Open Sans"/>
          <w:color w:val="000000" w:themeColor="text1"/>
        </w:rPr>
      </w:pPr>
      <w:r>
        <w:rPr>
          <w:rFonts w:ascii="Open Sans" w:hAnsi="Open Sans" w:cs="Open Sans"/>
          <w:color w:val="000000" w:themeColor="text1"/>
        </w:rPr>
        <w:t> </w:t>
      </w:r>
      <w:bookmarkStart w:id="8" w:name="_Toc237529616"/>
      <w:r>
        <w:rPr>
          <w:rFonts w:ascii="Open Sans" w:hAnsi="Open Sans" w:cs="Open Sans"/>
          <w:color w:val="000000" w:themeColor="text1"/>
        </w:rPr>
        <w:t>Ordre de priorité</w:t>
      </w:r>
      <w:bookmarkEnd w:id="8"/>
    </w:p>
    <w:p w14:paraId="47E65628" w14:textId="201CF664"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Par dérogation à l’article 4.1 du CCAG-FCS, les documents contractuels particuliers suivants, applicables au Marché prévalent les uns sur les autres dans l’ordre où ils sont énumérés ci-après :</w:t>
      </w:r>
    </w:p>
    <w:p w14:paraId="6A840E80" w14:textId="640CC8D6"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l’acte d’engagement </w:t>
      </w:r>
    </w:p>
    <w:p w14:paraId="672D39C3" w14:textId="06E09DEB"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présent Cahier des Clauses Particulières (C.C.P.), </w:t>
      </w:r>
    </w:p>
    <w:p w14:paraId="4D0DD1F2" w14:textId="19A35ED1"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mémoire technique remis par l’assureur et les éventuelles réserves, </w:t>
      </w:r>
    </w:p>
    <w:p w14:paraId="263BFE2B" w14:textId="2695EFEF"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le contrat d’assurance conclu entre le souscripteur et l’assureur à l’issue de la notification du présent marché y compris les conditions générales de la compagnie complétant le CCP éventuellement annexées, et s’il y a eu lieu les conditions particulières proposées par la compagnie d’assurance</w:t>
      </w:r>
    </w:p>
    <w:p w14:paraId="66927583" w14:textId="78C3B2EF"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cahier des clauses administratives générales applicables aux marchés de fournitures courantes et de services (CCAG- FCS) approuvé par l’arrêté du 31 mars 2021. </w:t>
      </w:r>
    </w:p>
    <w:p w14:paraId="1BB2FDC8" w14:textId="77777777"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 xml:space="preserve">L’ensemble des dispositions du présent cahier des clauses particulières constitue les conventions particulières au contrat d’assurances. Ces dispositions dérogent à toutes les conditions d’assurance (générales, particulières, spéciales…) émises par l’assureur dans le cadre du présent marché et s’appliqueront par conséquent en priorité. Les présentes clauses particulières font partie intégrante du contrat et prévalent sur les conditions générales éventuellement annexées. Cependant, les conditions particulières dérogent uniquement pour ce qu’elles ont de plus favorable pour l’assuré aux conditions générales et conventions spéciales. </w:t>
      </w:r>
    </w:p>
    <w:p w14:paraId="3CBE974E" w14:textId="35D61102" w:rsidR="003640AB"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lastRenderedPageBreak/>
        <w:t>Les informations relatives à l’identification du chantier et du dossier technique sont fournies par l’APHP. Le titulaire est réputé avoir eu connaissance de tout renseignement nécessaire à une juste appréciation des risques par la transmission de ces pièces.</w:t>
      </w:r>
    </w:p>
    <w:p w14:paraId="078E016D" w14:textId="621FCACA" w:rsidR="00DB593F" w:rsidRPr="00EF2CF5" w:rsidRDefault="00EF2CF5" w:rsidP="00EF2CF5">
      <w:pPr>
        <w:pStyle w:val="Titre3"/>
        <w:spacing w:after="200"/>
        <w:rPr>
          <w:rFonts w:ascii="Open Sans" w:hAnsi="Open Sans" w:cs="Open Sans"/>
          <w:color w:val="000000" w:themeColor="text1"/>
        </w:rPr>
      </w:pPr>
      <w:bookmarkStart w:id="9" w:name="_Toc237529617"/>
      <w:r w:rsidRPr="00EF2CF5">
        <w:rPr>
          <w:rFonts w:ascii="Open Sans" w:hAnsi="Open Sans" w:cs="Open Sans"/>
          <w:color w:val="000000" w:themeColor="text1"/>
        </w:rPr>
        <w:t>R</w:t>
      </w:r>
      <w:r w:rsidR="009A0789">
        <w:rPr>
          <w:rFonts w:ascii="Open Sans" w:hAnsi="Open Sans" w:cs="Open Sans"/>
          <w:color w:val="000000" w:themeColor="text1"/>
        </w:rPr>
        <w:t xml:space="preserve">eprise du passé </w:t>
      </w:r>
      <w:r w:rsidR="009A0789" w:rsidRPr="00EF2CF5">
        <w:rPr>
          <w:rFonts w:ascii="Open Sans" w:hAnsi="Open Sans" w:cs="Open Sans"/>
          <w:color w:val="000000" w:themeColor="text1"/>
        </w:rPr>
        <w:t>inconnu</w:t>
      </w:r>
      <w:bookmarkEnd w:id="9"/>
    </w:p>
    <w:p w14:paraId="22E0CD18" w14:textId="77777777" w:rsidR="00A37A87" w:rsidRPr="00A37A87" w:rsidRDefault="00A37A87" w:rsidP="00A37A87">
      <w:pPr>
        <w:spacing w:after="200"/>
        <w:rPr>
          <w:rFonts w:ascii="Open Sans" w:hAnsi="Open Sans" w:cs="Open Sans"/>
          <w:color w:val="000000" w:themeColor="text1"/>
          <w:sz w:val="18"/>
          <w:szCs w:val="18"/>
        </w:rPr>
      </w:pPr>
      <w:r w:rsidRPr="00A37A87">
        <w:rPr>
          <w:rFonts w:ascii="Open Sans" w:hAnsi="Open Sans" w:cs="Open Sans"/>
          <w:color w:val="000000" w:themeColor="text1"/>
          <w:sz w:val="18"/>
          <w:szCs w:val="18"/>
        </w:rPr>
        <w:t>La garantie s'applique à la partie de l'opération de construction réalisée antérieurement à la prise d'effet du contrat. Sont seuls exclus les pertes ou dommages susceptibles de relever de la garantie du contrat et dont l'assuré aurait eu connaissance à la souscription.</w:t>
      </w:r>
    </w:p>
    <w:p w14:paraId="2528D2FC" w14:textId="77777777" w:rsidR="00A37A87" w:rsidRPr="00A37A87" w:rsidRDefault="00A37A87" w:rsidP="00A37A87">
      <w:pPr>
        <w:spacing w:after="200"/>
        <w:rPr>
          <w:rFonts w:ascii="Open Sans" w:hAnsi="Open Sans" w:cs="Open Sans"/>
          <w:color w:val="000000" w:themeColor="text1"/>
          <w:sz w:val="18"/>
          <w:szCs w:val="18"/>
        </w:rPr>
      </w:pPr>
      <w:r w:rsidRPr="00A37A87">
        <w:rPr>
          <w:rFonts w:ascii="Open Sans" w:hAnsi="Open Sans" w:cs="Open Sans"/>
          <w:color w:val="000000" w:themeColor="text1"/>
          <w:sz w:val="18"/>
          <w:szCs w:val="18"/>
        </w:rPr>
        <w:t>Il est entendu que la garantie s'applique aux pertes ou dommages survenus après la date d'effet et dont l'origine serait antérieure à la prise d'effet sous les mêmes réserves que ci-dessus.</w:t>
      </w:r>
    </w:p>
    <w:p w14:paraId="73D39E75" w14:textId="79576703" w:rsidR="00DB593F" w:rsidRDefault="00A37A87" w:rsidP="00A37A87">
      <w:pPr>
        <w:spacing w:after="200"/>
        <w:rPr>
          <w:rFonts w:ascii="Open Sans" w:hAnsi="Open Sans" w:cs="Open Sans"/>
          <w:color w:val="000000" w:themeColor="text1"/>
          <w:sz w:val="18"/>
          <w:szCs w:val="18"/>
        </w:rPr>
      </w:pPr>
      <w:r w:rsidRPr="00A37A87">
        <w:rPr>
          <w:rFonts w:ascii="Open Sans" w:hAnsi="Open Sans" w:cs="Open Sans"/>
          <w:color w:val="000000" w:themeColor="text1"/>
          <w:sz w:val="18"/>
          <w:szCs w:val="18"/>
        </w:rPr>
        <w:t>Il appartient toujours à l'assureur d'apporter la preuve de la connaissance par l'assuré de la survenance de tels événements antérieurement à la prise d'effet de la police</w:t>
      </w:r>
      <w:r w:rsidR="00DB593F" w:rsidRPr="00DB593F">
        <w:rPr>
          <w:rFonts w:ascii="Open Sans" w:hAnsi="Open Sans" w:cs="Open Sans"/>
          <w:color w:val="000000" w:themeColor="text1"/>
          <w:sz w:val="18"/>
          <w:szCs w:val="18"/>
        </w:rPr>
        <w:t>.</w:t>
      </w:r>
    </w:p>
    <w:p w14:paraId="38EE4098" w14:textId="735B1F84" w:rsidR="001F7C91" w:rsidRPr="00DB593F" w:rsidRDefault="001F7C91" w:rsidP="001F7C91">
      <w:pPr>
        <w:pStyle w:val="Titre3"/>
        <w:spacing w:after="200"/>
        <w:rPr>
          <w:rFonts w:ascii="Open Sans" w:hAnsi="Open Sans" w:cs="Open Sans"/>
          <w:color w:val="000000" w:themeColor="text1"/>
        </w:rPr>
      </w:pPr>
      <w:r>
        <w:rPr>
          <w:rFonts w:ascii="Open Sans" w:hAnsi="Open Sans" w:cs="Open Sans"/>
          <w:color w:val="000000" w:themeColor="text1"/>
        </w:rPr>
        <w:t> </w:t>
      </w:r>
      <w:bookmarkStart w:id="10" w:name="_Toc237529618"/>
      <w:r>
        <w:rPr>
          <w:rFonts w:ascii="Open Sans" w:hAnsi="Open Sans" w:cs="Open Sans"/>
          <w:color w:val="000000" w:themeColor="text1"/>
        </w:rPr>
        <w:t>Commande</w:t>
      </w:r>
      <w:bookmarkEnd w:id="10"/>
    </w:p>
    <w:p w14:paraId="13AF8033" w14:textId="77777777"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 xml:space="preserve">Elles seront établies par </w:t>
      </w:r>
      <w:r>
        <w:rPr>
          <w:rFonts w:ascii="Open Sans" w:hAnsi="Open Sans" w:cs="Open Sans"/>
          <w:i w:val="0"/>
          <w:color w:val="000000" w:themeColor="text1"/>
          <w:sz w:val="18"/>
          <w:szCs w:val="18"/>
        </w:rPr>
        <w:t>le Département Immobilier et Investissements du</w:t>
      </w:r>
      <w:r w:rsidRPr="002B6FC0">
        <w:rPr>
          <w:rFonts w:ascii="Open Sans" w:hAnsi="Open Sans" w:cs="Open Sans"/>
          <w:i w:val="0"/>
          <w:color w:val="000000" w:themeColor="text1"/>
          <w:sz w:val="18"/>
          <w:szCs w:val="18"/>
        </w:rPr>
        <w:t xml:space="preserve"> siège de l’AP-HP et transmises au Titulaire, soit par courrier, soit par télécopie, soit par voie électronique. Elles comporteront obligatoirement un n° de bon de commande </w:t>
      </w:r>
      <w:r w:rsidRPr="002B6FC0">
        <w:rPr>
          <w:rFonts w:ascii="Open Sans" w:hAnsi="Open Sans" w:cs="Open Sans"/>
          <w:i w:val="0"/>
          <w:iCs/>
          <w:color w:val="000000" w:themeColor="text1"/>
          <w:sz w:val="18"/>
          <w:szCs w:val="18"/>
        </w:rPr>
        <w:t>(référence à 10 chiffres commençant par 45) et un Code service</w:t>
      </w:r>
      <w:r w:rsidRPr="002B6FC0">
        <w:rPr>
          <w:rFonts w:ascii="Open Sans" w:hAnsi="Open Sans" w:cs="Open Sans"/>
          <w:i w:val="0"/>
          <w:color w:val="000000" w:themeColor="text1"/>
          <w:sz w:val="18"/>
          <w:szCs w:val="18"/>
        </w:rPr>
        <w:t xml:space="preserve"> à rappeler sur le sur la facture, ainsi que l’objet détaillé de la commande.</w:t>
      </w:r>
    </w:p>
    <w:p w14:paraId="4ED5E2A4" w14:textId="77777777" w:rsidR="00AA08B1" w:rsidRDefault="00AA08B1" w:rsidP="00AA08B1">
      <w:pPr>
        <w:pStyle w:val="Normal2"/>
        <w:spacing w:after="200"/>
        <w:ind w:left="0"/>
      </w:pPr>
      <w:r w:rsidRPr="002B6FC0">
        <w:rPr>
          <w:rFonts w:ascii="Open Sans" w:hAnsi="Open Sans" w:cs="Open Sans"/>
          <w:i w:val="0"/>
          <w:color w:val="000000" w:themeColor="text1"/>
          <w:sz w:val="18"/>
          <w:szCs w:val="18"/>
        </w:rPr>
        <w:t xml:space="preserve">Elles seront échelonnées et émises au fur et à mesure </w:t>
      </w:r>
      <w:r>
        <w:rPr>
          <w:rFonts w:ascii="Open Sans" w:hAnsi="Open Sans" w:cs="Open Sans"/>
          <w:i w:val="0"/>
          <w:color w:val="000000" w:themeColor="text1"/>
          <w:sz w:val="18"/>
          <w:szCs w:val="18"/>
        </w:rPr>
        <w:t>de l’échéancier</w:t>
      </w:r>
      <w:r w:rsidRPr="002B6FC0">
        <w:rPr>
          <w:rFonts w:ascii="Open Sans" w:hAnsi="Open Sans" w:cs="Open Sans"/>
          <w:i w:val="0"/>
          <w:color w:val="000000" w:themeColor="text1"/>
          <w:sz w:val="18"/>
          <w:szCs w:val="18"/>
        </w:rPr>
        <w:t>.</w:t>
      </w:r>
    </w:p>
    <w:p w14:paraId="7E649DAB"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Si le Titulaire du marché est situé dans un autre Etat membre de l’UE, tout bon de commande adressé au Titulaire du marché par les établissements de l’Assistance Publique - Hôpitaux de Paris sera établi pour un montant hors taxe. Le bon de commande devra faire figurer le numéro individuel d’identification pour les opérations intra-communautaires de l’Assistance Publique – Hôpitaux de Paris : FR95267500452.</w:t>
      </w:r>
    </w:p>
    <w:p w14:paraId="75019F21"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bons de comm</w:t>
      </w:r>
      <w:r>
        <w:rPr>
          <w:rFonts w:ascii="Open Sans" w:hAnsi="Open Sans" w:cs="Open Sans"/>
          <w:color w:val="000000" w:themeColor="text1"/>
          <w:sz w:val="18"/>
          <w:szCs w:val="18"/>
        </w:rPr>
        <w:t>a</w:t>
      </w:r>
      <w:r w:rsidRPr="002B6FC0">
        <w:rPr>
          <w:rFonts w:ascii="Open Sans" w:hAnsi="Open Sans" w:cs="Open Sans"/>
          <w:color w:val="000000" w:themeColor="text1"/>
          <w:sz w:val="18"/>
          <w:szCs w:val="18"/>
        </w:rPr>
        <w:t>nde seront transmis, en cas de désignation d’un mandataire du groupement, à ce dernier.</w:t>
      </w:r>
    </w:p>
    <w:p w14:paraId="083182CA" w14:textId="73FA324D" w:rsidR="00F83AE8" w:rsidRPr="002B6FC0" w:rsidRDefault="006254F0" w:rsidP="00934C76">
      <w:pPr>
        <w:pStyle w:val="Titre3"/>
        <w:spacing w:after="200"/>
        <w:rPr>
          <w:rFonts w:ascii="Open Sans" w:hAnsi="Open Sans" w:cs="Open Sans"/>
          <w:color w:val="000000" w:themeColor="text1"/>
        </w:rPr>
      </w:pPr>
      <w:r w:rsidRPr="00142A2F">
        <w:rPr>
          <w:rFonts w:ascii="Open Sans" w:hAnsi="Open Sans" w:cs="Open Sans"/>
          <w:color w:val="000000" w:themeColor="text1"/>
          <w:lang w:val="fr-BE"/>
        </w:rPr>
        <w:t> </w:t>
      </w:r>
      <w:bookmarkStart w:id="11" w:name="_Toc237529619"/>
      <w:r>
        <w:rPr>
          <w:rFonts w:ascii="Open Sans" w:hAnsi="Open Sans" w:cs="Open Sans"/>
          <w:color w:val="000000" w:themeColor="text1"/>
          <w:lang w:val="en-GB"/>
        </w:rPr>
        <w:t>P</w:t>
      </w:r>
      <w:r w:rsidRPr="006254F0">
        <w:rPr>
          <w:rFonts w:ascii="Open Sans" w:hAnsi="Open Sans" w:cs="Open Sans"/>
          <w:color w:val="000000" w:themeColor="text1"/>
          <w:lang w:val="en-GB"/>
        </w:rPr>
        <w:t>rime prévisionnelle et définitive</w:t>
      </w:r>
      <w:bookmarkEnd w:id="11"/>
    </w:p>
    <w:p w14:paraId="7E116105"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Le taux de cotisation et la cotisation minimum correspondent à l’engagement de l’assureur pour la durée du marché. </w:t>
      </w:r>
    </w:p>
    <w:p w14:paraId="7BC3F34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cotisation minimum totale est répartie par fraction égale chaque année sur la durée prévisionnelle. </w:t>
      </w:r>
    </w:p>
    <w:p w14:paraId="2758CB61"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Dans les 12 mois suivant la réception, le souscripteur s’engage à déclarer le montant définitif de l’opération sur lequel sera appliqué le taux initial éventuellement augmenté de taux de prolongation.  </w:t>
      </w:r>
    </w:p>
    <w:p w14:paraId="147F00F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Il est convenu qu’en cas de dépassement de la durée initiale :</w:t>
      </w:r>
    </w:p>
    <w:p w14:paraId="6754A419" w14:textId="2603EEAD"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premiers mois bénéficient d’une prolongation automatique et gratuite, </w:t>
      </w:r>
    </w:p>
    <w:p w14:paraId="35283EE8" w14:textId="2391A50D"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mois suivant la prolongation est automatique et un taux « prorata </w:t>
      </w:r>
      <w:proofErr w:type="spellStart"/>
      <w:r w:rsidRPr="00D22F72">
        <w:rPr>
          <w:rFonts w:ascii="Open Sans" w:hAnsi="Open Sans" w:cs="Open Sans"/>
          <w:color w:val="000000" w:themeColor="text1"/>
          <w:sz w:val="18"/>
        </w:rPr>
        <w:t>temporis</w:t>
      </w:r>
      <w:proofErr w:type="spellEnd"/>
      <w:r w:rsidRPr="00D22F72">
        <w:rPr>
          <w:rFonts w:ascii="Open Sans" w:hAnsi="Open Sans" w:cs="Open Sans"/>
          <w:color w:val="000000" w:themeColor="text1"/>
          <w:sz w:val="18"/>
        </w:rPr>
        <w:t xml:space="preserve"> » est appliqué, </w:t>
      </w:r>
    </w:p>
    <w:p w14:paraId="64020C5E" w14:textId="519A1F97"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Au-delà des 12 premiers mois, l’assureur s’engage à prolonger sur demande du souscripteur et propose ses conditions, </w:t>
      </w:r>
    </w:p>
    <w:p w14:paraId="32EA9C9B" w14:textId="776FFA06" w:rsidR="00F83AE8" w:rsidRPr="002B6FC0" w:rsidRDefault="00D22F72" w:rsidP="00934C76">
      <w:pPr>
        <w:pStyle w:val="Titre3"/>
        <w:spacing w:after="200"/>
        <w:rPr>
          <w:rFonts w:ascii="Open Sans" w:hAnsi="Open Sans" w:cs="Open Sans"/>
          <w:color w:val="000000" w:themeColor="text1"/>
        </w:rPr>
      </w:pPr>
      <w:bookmarkStart w:id="12" w:name="_Toc237529620"/>
      <w:r>
        <w:rPr>
          <w:rFonts w:ascii="Open Sans" w:hAnsi="Open Sans" w:cs="Open Sans"/>
          <w:color w:val="000000" w:themeColor="text1"/>
        </w:rPr>
        <w:t>Paiement des primes</w:t>
      </w:r>
      <w:bookmarkEnd w:id="12"/>
    </w:p>
    <w:p w14:paraId="3CB502E5" w14:textId="77777777" w:rsidR="006B324E" w:rsidRDefault="00D22F72" w:rsidP="00D22F72">
      <w:pPr>
        <w:spacing w:after="200"/>
        <w:rPr>
          <w:rFonts w:ascii="Open Sans" w:hAnsi="Open Sans" w:cs="Open Sans"/>
          <w:color w:val="000000" w:themeColor="text1"/>
          <w:sz w:val="18"/>
        </w:rPr>
      </w:pPr>
      <w:r w:rsidRPr="00D22F72">
        <w:rPr>
          <w:rFonts w:ascii="Open Sans" w:hAnsi="Open Sans" w:cs="Open Sans"/>
          <w:color w:val="000000" w:themeColor="text1"/>
          <w:sz w:val="18"/>
        </w:rPr>
        <w:t>La cotisation est payable selon l’échéancier suivant</w:t>
      </w:r>
      <w:r w:rsidR="006B324E">
        <w:rPr>
          <w:rFonts w:ascii="Open Sans" w:hAnsi="Open Sans" w:cs="Open Sans"/>
          <w:color w:val="000000" w:themeColor="text1"/>
          <w:sz w:val="18"/>
        </w:rPr>
        <w:t xml:space="preserve"> (Article 8.2)</w:t>
      </w:r>
    </w:p>
    <w:p w14:paraId="03F6BD0F" w14:textId="5E460EA6" w:rsidR="006B324E" w:rsidRPr="00B71986" w:rsidRDefault="006B324E" w:rsidP="006B324E">
      <w:pPr>
        <w:rPr>
          <w:rFonts w:ascii="Open Sans" w:hAnsi="Open Sans" w:cs="Open Sans"/>
          <w:sz w:val="18"/>
          <w:szCs w:val="18"/>
          <w:lang w:eastAsia="en-GB"/>
        </w:rPr>
      </w:pPr>
      <w:r w:rsidRPr="00B71986">
        <w:rPr>
          <w:rFonts w:ascii="Open Sans" w:hAnsi="Open Sans" w:cs="Open Sans"/>
          <w:sz w:val="18"/>
          <w:szCs w:val="18"/>
          <w:lang w:eastAsia="en-GB"/>
        </w:rPr>
        <w:t>:</w:t>
      </w:r>
    </w:p>
    <w:p w14:paraId="2BBF96E8" w14:textId="77777777" w:rsidR="006B324E" w:rsidRPr="00B71986" w:rsidRDefault="006B324E" w:rsidP="006B324E">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20 % à la signature de la police</w:t>
      </w:r>
    </w:p>
    <w:p w14:paraId="700D0D6F" w14:textId="77777777" w:rsidR="006B324E" w:rsidRPr="00B71986" w:rsidRDefault="006B324E" w:rsidP="006B324E">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 xml:space="preserve">20 % chaque année suivante jusqu’à atteindre 100 % </w:t>
      </w:r>
    </w:p>
    <w:p w14:paraId="2FECEA71" w14:textId="13FB8833" w:rsidR="00D22F72" w:rsidRDefault="006B324E" w:rsidP="00142A2F">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La régularisation est effectuée dans les 12 mois suivant la date de réception.</w:t>
      </w:r>
    </w:p>
    <w:p w14:paraId="1C039215" w14:textId="736BF944" w:rsidR="00142A2F" w:rsidRDefault="00142A2F">
      <w:pPr>
        <w:jc w:val="left"/>
        <w:rPr>
          <w:rFonts w:ascii="Open Sans" w:hAnsi="Open Sans" w:cs="Open Sans"/>
          <w:sz w:val="18"/>
          <w:szCs w:val="18"/>
          <w:lang w:eastAsia="en-GB"/>
        </w:rPr>
      </w:pPr>
      <w:r>
        <w:rPr>
          <w:rFonts w:ascii="Open Sans" w:hAnsi="Open Sans" w:cs="Open Sans"/>
          <w:sz w:val="18"/>
          <w:szCs w:val="18"/>
          <w:lang w:eastAsia="en-GB"/>
        </w:rPr>
        <w:br w:type="page"/>
      </w:r>
    </w:p>
    <w:p w14:paraId="1177D14A" w14:textId="77777777" w:rsidR="00AA08B1" w:rsidRPr="002B6FC0" w:rsidRDefault="00AA08B1" w:rsidP="00AA08B1">
      <w:pPr>
        <w:pStyle w:val="Titre3"/>
        <w:spacing w:after="200"/>
        <w:rPr>
          <w:rFonts w:ascii="Open Sans" w:hAnsi="Open Sans" w:cs="Open Sans"/>
          <w:color w:val="000000" w:themeColor="text1"/>
        </w:rPr>
      </w:pPr>
      <w:bookmarkStart w:id="13" w:name="_Toc237529621"/>
      <w:r w:rsidRPr="002B6FC0">
        <w:rPr>
          <w:rFonts w:ascii="Open Sans" w:hAnsi="Open Sans" w:cs="Open Sans"/>
          <w:color w:val="000000" w:themeColor="text1"/>
        </w:rPr>
        <w:lastRenderedPageBreak/>
        <w:t>Facturation</w:t>
      </w:r>
      <w:bookmarkEnd w:id="13"/>
    </w:p>
    <w:p w14:paraId="3CA4AF7E"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factures ne doivent comporter aucune condition générale de vente.</w:t>
      </w:r>
    </w:p>
    <w:p w14:paraId="14ED43AD"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
          <w:bCs/>
          <w:color w:val="000000" w:themeColor="text1"/>
          <w:sz w:val="18"/>
          <w:szCs w:val="18"/>
        </w:rPr>
        <w:t xml:space="preserve">Conformément à l’ordonnance n° 2014-697 du 26 juin 2014 relative au développement de la facturation électronique, le Titulaire du marché adressera ses factures sous format dématérialisé par l’intermédiaire de la solution Chorus Pro, à l’adresse https://chorus-pro.gouv.fr. </w:t>
      </w:r>
    </w:p>
    <w:p w14:paraId="6D4A0196"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Cs/>
          <w:color w:val="000000" w:themeColor="text1"/>
          <w:sz w:val="18"/>
          <w:szCs w:val="18"/>
        </w:rPr>
        <w:t>Les factures électroniques seront transmises sur ce portail en utilisant le mode EDI, ou en déposant des fichiers PDF (signés ou non signés).</w:t>
      </w:r>
    </w:p>
    <w:p w14:paraId="431AB3DF" w14:textId="796521B6"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b/>
          <w:i w:val="0"/>
          <w:color w:val="000000" w:themeColor="text1"/>
          <w:sz w:val="18"/>
          <w:szCs w:val="18"/>
        </w:rPr>
        <w:t>Les factures doivent indiquer</w:t>
      </w:r>
      <w:r w:rsidRPr="002B6FC0">
        <w:rPr>
          <w:rFonts w:ascii="Open Sans" w:hAnsi="Open Sans" w:cs="Open Sans"/>
          <w:i w:val="0"/>
          <w:color w:val="000000" w:themeColor="text1"/>
          <w:sz w:val="18"/>
          <w:szCs w:val="18"/>
        </w:rPr>
        <w:t> :</w:t>
      </w:r>
    </w:p>
    <w:p w14:paraId="727349E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mention « Facture »</w:t>
      </w:r>
    </w:p>
    <w:p w14:paraId="4BE6FF3B"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d’ordre de la facture ;</w:t>
      </w:r>
    </w:p>
    <w:p w14:paraId="77DA4BE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Nom et adresse du créancier ;</w:t>
      </w:r>
    </w:p>
    <w:p w14:paraId="0C9DE19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coordonnées complètes de son compte bancaire telles que précisées sur l’acte d’engagement ;</w:t>
      </w:r>
    </w:p>
    <w:p w14:paraId="1FE4123C"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 SIRET ou SIREN et du registre du commerce ;</w:t>
      </w:r>
    </w:p>
    <w:p w14:paraId="0B9C3A0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APE ;</w:t>
      </w:r>
    </w:p>
    <w:p w14:paraId="0369E04E"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désignation de chaque article livré (marque, quantité) ou de la prestation ;</w:t>
      </w:r>
    </w:p>
    <w:p w14:paraId="0FCEBCB2"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hors taxes par article et hors taxes avec remise (si remise proposée) ;</w:t>
      </w:r>
    </w:p>
    <w:p w14:paraId="0929C08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taux et le montant des taxes ;</w:t>
      </w:r>
    </w:p>
    <w:p w14:paraId="21CB8F9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total des fournitures livrées T.T.C. ;</w:t>
      </w:r>
    </w:p>
    <w:p w14:paraId="194FCB6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 du bon de commande (référence à 10 chiffres commençant par 45) ou ordre de service (une facture devant référencer un et un seul bon de commande ou ordre de service) ;</w:t>
      </w:r>
    </w:p>
    <w:p w14:paraId="253AEF75" w14:textId="77777777" w:rsidR="00AA08B1" w:rsidRPr="002B6FC0" w:rsidRDefault="00AA08B1" w:rsidP="00445816">
      <w:pPr>
        <w:pStyle w:val="Default"/>
        <w:numPr>
          <w:ilvl w:val="0"/>
          <w:numId w:val="2"/>
        </w:numPr>
        <w:jc w:val="both"/>
        <w:rPr>
          <w:rFonts w:ascii="Open Sans" w:hAnsi="Open Sans" w:cs="Open Sans"/>
          <w:color w:val="000000" w:themeColor="text1"/>
          <w:sz w:val="18"/>
          <w:szCs w:val="18"/>
        </w:rPr>
      </w:pPr>
      <w:r w:rsidRPr="002B6FC0">
        <w:rPr>
          <w:rFonts w:ascii="Open Sans" w:hAnsi="Open Sans" w:cs="Open Sans"/>
          <w:color w:val="000000" w:themeColor="text1"/>
          <w:sz w:val="18"/>
          <w:szCs w:val="18"/>
        </w:rPr>
        <w:t>Le n° de SIRET de l’AP-HP : 267 500 452 01928 ;</w:t>
      </w:r>
    </w:p>
    <w:p w14:paraId="61012874"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service de l’établissement ayant passé commande (présent sur le bon de commande) ;</w:t>
      </w:r>
    </w:p>
    <w:p w14:paraId="0479D8E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de marché ;</w:t>
      </w:r>
    </w:p>
    <w:p w14:paraId="518241C6" w14:textId="77777777" w:rsidR="00AA08B1" w:rsidRPr="002B6FC0" w:rsidRDefault="00AA08B1" w:rsidP="00445816">
      <w:pPr>
        <w:pStyle w:val="Normal2"/>
        <w:numPr>
          <w:ilvl w:val="0"/>
          <w:numId w:val="2"/>
        </w:numPr>
        <w:spacing w:after="20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des bons de livraison des fournitures et leur date ou la date de réalisation de la prestation.</w:t>
      </w:r>
    </w:p>
    <w:p w14:paraId="0D222372" w14:textId="4B666EED" w:rsidR="00AA08B1" w:rsidRDefault="00AA08B1" w:rsidP="00AA08B1">
      <w:pPr>
        <w:spacing w:after="200"/>
        <w:rPr>
          <w:rFonts w:ascii="Open Sans" w:hAnsi="Open Sans" w:cs="Open Sans"/>
          <w:b/>
          <w:bCs/>
          <w:color w:val="000000" w:themeColor="text1"/>
          <w:sz w:val="18"/>
          <w:szCs w:val="18"/>
          <w:lang w:eastAsia="en-US"/>
        </w:rPr>
      </w:pPr>
      <w:r w:rsidRPr="002B6FC0">
        <w:rPr>
          <w:rFonts w:ascii="Open Sans" w:hAnsi="Open Sans" w:cs="Open Sans"/>
          <w:b/>
          <w:bCs/>
          <w:color w:val="000000" w:themeColor="text1"/>
          <w:sz w:val="18"/>
          <w:szCs w:val="18"/>
          <w:lang w:eastAsia="en-US"/>
        </w:rPr>
        <w:t>L’absence d’une des mentions listées ci-dessus entraînera un rejet de la facture.</w:t>
      </w:r>
    </w:p>
    <w:p w14:paraId="4DD60772" w14:textId="77777777" w:rsidR="00142A2F" w:rsidRPr="002B6FC0" w:rsidRDefault="00142A2F" w:rsidP="00142A2F">
      <w:pPr>
        <w:spacing w:after="200"/>
        <w:rPr>
          <w:rFonts w:ascii="Open Sans" w:hAnsi="Open Sans" w:cs="Open Sans"/>
          <w:b/>
          <w:bCs/>
          <w:color w:val="000000" w:themeColor="text1"/>
          <w:sz w:val="18"/>
          <w:szCs w:val="18"/>
          <w:lang w:eastAsia="en-US"/>
        </w:rPr>
      </w:pPr>
      <w:bookmarkStart w:id="14" w:name="_Hlk237419131"/>
      <w:r>
        <w:rPr>
          <w:rFonts w:ascii="Open Sans" w:hAnsi="Open Sans" w:cs="Open Sans"/>
          <w:b/>
          <w:bCs/>
          <w:color w:val="000000" w:themeColor="text1"/>
          <w:sz w:val="18"/>
          <w:szCs w:val="18"/>
          <w:lang w:eastAsia="en-US"/>
        </w:rPr>
        <w:t>Dans le cadre de la facturation , l’AP-HP utilise le progiciel EDIFLEX pour la gestion de sa facturation. Le titulaire devra ainsi obligatoirement saisir sa facturation</w:t>
      </w:r>
    </w:p>
    <w:p w14:paraId="0488F775" w14:textId="77777777" w:rsidR="00AA08B1" w:rsidRPr="002B6FC0" w:rsidRDefault="00AA08B1" w:rsidP="00AA08B1">
      <w:pPr>
        <w:pStyle w:val="Titre3"/>
        <w:spacing w:after="200"/>
        <w:rPr>
          <w:rFonts w:ascii="Open Sans" w:hAnsi="Open Sans" w:cs="Open Sans"/>
          <w:color w:val="000000" w:themeColor="text1"/>
        </w:rPr>
      </w:pPr>
      <w:bookmarkStart w:id="15" w:name="_Toc237529622"/>
      <w:bookmarkEnd w:id="14"/>
      <w:r w:rsidRPr="002B6FC0">
        <w:rPr>
          <w:rFonts w:ascii="Open Sans" w:hAnsi="Open Sans" w:cs="Open Sans"/>
          <w:color w:val="000000" w:themeColor="text1"/>
        </w:rPr>
        <w:t>Paiement</w:t>
      </w:r>
      <w:bookmarkEnd w:id="15"/>
    </w:p>
    <w:p w14:paraId="158A078B" w14:textId="26003C85"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paiement s’effectue selon les règles de la comptabilité publique, dans les conditions prévues au chapitre 2 « prix et règlement » du cahier des clauses administratives générales-FCS.</w:t>
      </w:r>
    </w:p>
    <w:p w14:paraId="6B501046"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En application de l’article R. 2192-11 du Code de la commande publique, le délai maximum de paiement est de 50 jours à compter de la présentation de la demande de paiement.</w:t>
      </w:r>
    </w:p>
    <w:p w14:paraId="798D30C8"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défaut de paiement dans ce délai fait courir de plein droit, et sans autre formalité, des intérêts moratoires au bénéfice du Titulaire ou du sous-traitant payé directement, conformément à la réglementation en vigueur notamment aux dispositions des articles R. 2192-31 à R. 2192-36 du Code de la commande publique</w:t>
      </w:r>
      <w:r w:rsidRPr="002B6FC0">
        <w:rPr>
          <w:rFonts w:ascii="Open Sans" w:hAnsi="Open Sans" w:cs="Open Sans"/>
          <w:bCs/>
          <w:color w:val="000000" w:themeColor="text1"/>
          <w:sz w:val="18"/>
          <w:szCs w:val="18"/>
        </w:rPr>
        <w:t>.</w:t>
      </w:r>
    </w:p>
    <w:p w14:paraId="38956377"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Ce délai est néanmoins suspendu en cas de rejet de la demande de paiement par le pouvoir adjudicateur à des fins de correction jusqu’à la remise d’une nouvelle facture en bonne et due forme.</w:t>
      </w:r>
    </w:p>
    <w:p w14:paraId="56159AFB" w14:textId="77777777" w:rsidR="00AA08B1" w:rsidRPr="002B6FC0" w:rsidRDefault="00AA08B1" w:rsidP="00AA08B1">
      <w:pPr>
        <w:pStyle w:val="Titre3"/>
        <w:spacing w:after="200"/>
        <w:rPr>
          <w:rFonts w:ascii="Open Sans" w:hAnsi="Open Sans" w:cs="Open Sans"/>
          <w:strike/>
          <w:color w:val="000000" w:themeColor="text1"/>
        </w:rPr>
      </w:pPr>
      <w:bookmarkStart w:id="16" w:name="_Toc237529623"/>
      <w:r w:rsidRPr="002B6FC0">
        <w:rPr>
          <w:rFonts w:ascii="Open Sans" w:hAnsi="Open Sans" w:cs="Open Sans"/>
          <w:color w:val="000000" w:themeColor="text1"/>
        </w:rPr>
        <w:t>Avances</w:t>
      </w:r>
      <w:bookmarkEnd w:id="16"/>
      <w:r w:rsidRPr="002B6FC0">
        <w:rPr>
          <w:rFonts w:ascii="Open Sans" w:hAnsi="Open Sans" w:cs="Open Sans"/>
          <w:color w:val="000000" w:themeColor="text1"/>
        </w:rPr>
        <w:t xml:space="preserve"> </w:t>
      </w:r>
    </w:p>
    <w:p w14:paraId="2239C925" w14:textId="5ECDF92D" w:rsidR="00142A2F" w:rsidRDefault="00AA08B1" w:rsidP="00AA08B1">
      <w:pPr>
        <w:shd w:val="clear" w:color="auto" w:fill="FFFFFF"/>
        <w:spacing w:after="240"/>
        <w:jc w:val="left"/>
        <w:textAlignment w:val="baseline"/>
        <w:rPr>
          <w:rFonts w:ascii="Open Sans" w:eastAsiaTheme="minorHAnsi" w:hAnsi="Open Sans" w:cs="Open Sans"/>
          <w:iCs/>
          <w:color w:val="000000" w:themeColor="text1"/>
          <w:sz w:val="18"/>
          <w:szCs w:val="18"/>
          <w:lang w:eastAsia="en-US"/>
        </w:rPr>
      </w:pPr>
      <w:r w:rsidRPr="00AA08B1">
        <w:rPr>
          <w:rFonts w:ascii="Open Sans" w:eastAsiaTheme="minorHAnsi" w:hAnsi="Open Sans" w:cs="Open Sans"/>
          <w:iCs/>
          <w:color w:val="000000" w:themeColor="text1"/>
          <w:sz w:val="18"/>
          <w:szCs w:val="18"/>
          <w:lang w:eastAsia="en-US"/>
        </w:rPr>
        <w:t>Sans objet</w:t>
      </w:r>
      <w:r w:rsidR="00142A2F">
        <w:rPr>
          <w:rFonts w:ascii="Open Sans" w:eastAsiaTheme="minorHAnsi" w:hAnsi="Open Sans" w:cs="Open Sans"/>
          <w:iCs/>
          <w:color w:val="000000" w:themeColor="text1"/>
          <w:sz w:val="18"/>
          <w:szCs w:val="18"/>
          <w:lang w:eastAsia="en-US"/>
        </w:rPr>
        <w:t>.</w:t>
      </w:r>
    </w:p>
    <w:p w14:paraId="1EDD22D8" w14:textId="77777777" w:rsidR="00142A2F" w:rsidRDefault="00142A2F">
      <w:pPr>
        <w:jc w:val="left"/>
        <w:rPr>
          <w:rFonts w:ascii="Open Sans" w:eastAsiaTheme="minorHAnsi" w:hAnsi="Open Sans" w:cs="Open Sans"/>
          <w:iCs/>
          <w:color w:val="000000" w:themeColor="text1"/>
          <w:sz w:val="18"/>
          <w:szCs w:val="18"/>
          <w:lang w:eastAsia="en-US"/>
        </w:rPr>
      </w:pPr>
      <w:r>
        <w:rPr>
          <w:rFonts w:ascii="Open Sans" w:eastAsiaTheme="minorHAnsi" w:hAnsi="Open Sans" w:cs="Open Sans"/>
          <w:iCs/>
          <w:color w:val="000000" w:themeColor="text1"/>
          <w:sz w:val="18"/>
          <w:szCs w:val="18"/>
          <w:lang w:eastAsia="en-US"/>
        </w:rPr>
        <w:br w:type="page"/>
      </w:r>
    </w:p>
    <w:p w14:paraId="4615F880" w14:textId="5D097F28" w:rsidR="00647437" w:rsidRPr="002B6FC0" w:rsidRDefault="00E60BFB" w:rsidP="00934C76">
      <w:pPr>
        <w:pStyle w:val="Titre3"/>
        <w:spacing w:after="200"/>
        <w:rPr>
          <w:rFonts w:ascii="Open Sans" w:hAnsi="Open Sans" w:cs="Open Sans"/>
          <w:color w:val="000000" w:themeColor="text1"/>
        </w:rPr>
      </w:pPr>
      <w:bookmarkStart w:id="17" w:name="_Toc237529624"/>
      <w:bookmarkStart w:id="18" w:name="a6"/>
      <w:r w:rsidRPr="002B6FC0">
        <w:rPr>
          <w:rFonts w:ascii="Open Sans" w:hAnsi="Open Sans" w:cs="Open Sans"/>
          <w:color w:val="000000" w:themeColor="text1"/>
        </w:rPr>
        <w:lastRenderedPageBreak/>
        <w:t>Clause de réexamen</w:t>
      </w:r>
      <w:bookmarkEnd w:id="17"/>
      <w:r w:rsidRPr="002B6FC0">
        <w:rPr>
          <w:rFonts w:ascii="Open Sans" w:hAnsi="Open Sans" w:cs="Open Sans"/>
          <w:color w:val="000000" w:themeColor="text1"/>
        </w:rPr>
        <w:t xml:space="preserve"> </w:t>
      </w:r>
    </w:p>
    <w:p w14:paraId="45C67456" w14:textId="012415F7" w:rsidR="005C6442" w:rsidRPr="002B6FC0" w:rsidRDefault="00647437"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application du 1° de l’article </w:t>
      </w:r>
      <w:r w:rsidR="00375FD8" w:rsidRPr="002B6FC0">
        <w:rPr>
          <w:rFonts w:ascii="Open Sans" w:hAnsi="Open Sans" w:cs="Open Sans"/>
          <w:color w:val="000000" w:themeColor="text1"/>
          <w:sz w:val="18"/>
          <w:szCs w:val="18"/>
        </w:rPr>
        <w:t xml:space="preserve">L2194-1 du </w:t>
      </w:r>
      <w:r w:rsidR="00D753AC" w:rsidRPr="002B6FC0">
        <w:rPr>
          <w:rFonts w:ascii="Open Sans" w:hAnsi="Open Sans" w:cs="Open Sans"/>
          <w:color w:val="000000" w:themeColor="text1"/>
          <w:sz w:val="18"/>
          <w:szCs w:val="18"/>
        </w:rPr>
        <w:t xml:space="preserve">Code </w:t>
      </w:r>
      <w:r w:rsidR="00375FD8" w:rsidRPr="002B6FC0">
        <w:rPr>
          <w:rFonts w:ascii="Open Sans" w:hAnsi="Open Sans" w:cs="Open Sans"/>
          <w:color w:val="000000" w:themeColor="text1"/>
          <w:sz w:val="18"/>
          <w:szCs w:val="18"/>
        </w:rPr>
        <w:t>de la commande publique</w:t>
      </w:r>
      <w:r w:rsidR="005C6442" w:rsidRPr="002B6FC0">
        <w:rPr>
          <w:rFonts w:ascii="Open Sans" w:hAnsi="Open Sans" w:cs="Open Sans"/>
          <w:color w:val="000000" w:themeColor="text1"/>
          <w:sz w:val="18"/>
          <w:szCs w:val="18"/>
        </w:rPr>
        <w:t xml:space="preserve">, </w:t>
      </w:r>
      <w:r w:rsidR="00467CA2" w:rsidRPr="002B6FC0">
        <w:rPr>
          <w:rFonts w:ascii="Open Sans" w:hAnsi="Open Sans" w:cs="Open Sans"/>
          <w:color w:val="000000" w:themeColor="text1"/>
          <w:sz w:val="18"/>
          <w:szCs w:val="18"/>
        </w:rPr>
        <w:t>le Représentant du Pouvoir Adjudicateur se réserve la possibilité de modifier le présent CCP dans les cas suivants :</w:t>
      </w:r>
    </w:p>
    <w:p w14:paraId="1FCF9E94" w14:textId="77777777" w:rsidR="00467CA2" w:rsidRPr="002B6FC0"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technique ou réglementaire nécessitant l’adjonction de nouvelles références au marché,</w:t>
      </w:r>
    </w:p>
    <w:p w14:paraId="7B0344FE" w14:textId="77777777" w:rsidR="00467CA2" w:rsidRPr="002B6FC0"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du périmètre d’exécution du marché par adjonction de groupes hospitaliers ou d’établissements non bénéficiaires initialement,</w:t>
      </w:r>
    </w:p>
    <w:p w14:paraId="477AAB13" w14:textId="580716A4" w:rsidR="00467CA2"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importante du coût des matières premières ayant des conséquences importantes sur l’équilibre financier du marché</w:t>
      </w:r>
      <w:r w:rsidR="006D1EC9" w:rsidRPr="002B6FC0">
        <w:rPr>
          <w:rFonts w:ascii="Open Sans" w:hAnsi="Open Sans" w:cs="Open Sans"/>
          <w:color w:val="000000" w:themeColor="text1"/>
          <w:sz w:val="18"/>
          <w:szCs w:val="18"/>
        </w:rPr>
        <w:t>.</w:t>
      </w:r>
    </w:p>
    <w:p w14:paraId="22FC698C" w14:textId="77777777" w:rsidR="003640AB" w:rsidRPr="002B6FC0" w:rsidRDefault="003640AB" w:rsidP="003640AB">
      <w:pPr>
        <w:rPr>
          <w:rFonts w:ascii="Open Sans" w:hAnsi="Open Sans" w:cs="Open Sans"/>
          <w:color w:val="000000" w:themeColor="text1"/>
          <w:sz w:val="18"/>
          <w:szCs w:val="18"/>
        </w:rPr>
      </w:pPr>
    </w:p>
    <w:p w14:paraId="55DE9A35" w14:textId="4B6ADC79" w:rsidR="005C6442" w:rsidRDefault="00467CA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La mise en œuvre de cette clause de réexamen pourra être initiée à l’initiative du RPA ou sur demande j</w:t>
      </w:r>
      <w:r w:rsidR="009E327A" w:rsidRPr="002B6FC0">
        <w:rPr>
          <w:rFonts w:ascii="Open Sans" w:hAnsi="Open Sans" w:cs="Open Sans"/>
          <w:color w:val="000000" w:themeColor="text1"/>
          <w:sz w:val="18"/>
          <w:szCs w:val="18"/>
        </w:rPr>
        <w:t xml:space="preserve">ustifiée du </w:t>
      </w:r>
      <w:r w:rsidR="00957C13" w:rsidRPr="002B6FC0">
        <w:rPr>
          <w:rFonts w:ascii="Open Sans" w:hAnsi="Open Sans" w:cs="Open Sans"/>
          <w:color w:val="000000" w:themeColor="text1"/>
          <w:sz w:val="18"/>
          <w:szCs w:val="18"/>
        </w:rPr>
        <w:t>Titulaire</w:t>
      </w:r>
      <w:r w:rsidR="009E327A" w:rsidRPr="002B6FC0">
        <w:rPr>
          <w:rFonts w:ascii="Open Sans" w:hAnsi="Open Sans" w:cs="Open Sans"/>
          <w:color w:val="000000" w:themeColor="text1"/>
          <w:sz w:val="18"/>
          <w:szCs w:val="18"/>
        </w:rPr>
        <w:t xml:space="preserve"> du marché</w:t>
      </w:r>
      <w:r w:rsidR="0081794D" w:rsidRPr="002B6FC0">
        <w:rPr>
          <w:rFonts w:ascii="Open Sans" w:hAnsi="Open Sans" w:cs="Open Sans"/>
          <w:color w:val="000000" w:themeColor="text1"/>
          <w:sz w:val="18"/>
          <w:szCs w:val="18"/>
        </w:rPr>
        <w:t xml:space="preserve"> par voie d’avenant</w:t>
      </w:r>
      <w:r w:rsidR="0055029B" w:rsidRPr="002B6FC0">
        <w:rPr>
          <w:rFonts w:ascii="Open Sans" w:hAnsi="Open Sans" w:cs="Open Sans"/>
          <w:color w:val="000000" w:themeColor="text1"/>
          <w:sz w:val="18"/>
          <w:szCs w:val="18"/>
        </w:rPr>
        <w:t xml:space="preserve"> éventuellement</w:t>
      </w:r>
      <w:r w:rsidR="009E327A" w:rsidRPr="002B6FC0">
        <w:rPr>
          <w:rFonts w:ascii="Open Sans" w:hAnsi="Open Sans" w:cs="Open Sans"/>
          <w:color w:val="000000" w:themeColor="text1"/>
          <w:sz w:val="18"/>
          <w:szCs w:val="18"/>
        </w:rPr>
        <w:t>.</w:t>
      </w:r>
      <w:r w:rsidRPr="002B6FC0">
        <w:rPr>
          <w:rFonts w:ascii="Open Sans" w:hAnsi="Open Sans" w:cs="Open Sans"/>
          <w:color w:val="000000" w:themeColor="text1"/>
          <w:sz w:val="18"/>
          <w:szCs w:val="18"/>
        </w:rPr>
        <w:t xml:space="preserve"> La demande devra parvenir au RPA par LRAR.</w:t>
      </w:r>
    </w:p>
    <w:p w14:paraId="4ED5BF22" w14:textId="499D6717" w:rsidR="00146705" w:rsidRPr="00146705" w:rsidRDefault="00146705" w:rsidP="00146705">
      <w:pPr>
        <w:pStyle w:val="Titre3"/>
        <w:spacing w:after="200"/>
        <w:rPr>
          <w:rFonts w:ascii="Open Sans" w:hAnsi="Open Sans" w:cs="Open Sans"/>
          <w:color w:val="000000" w:themeColor="text1"/>
        </w:rPr>
      </w:pPr>
      <w:r>
        <w:rPr>
          <w:rFonts w:ascii="Open Sans" w:hAnsi="Open Sans" w:cs="Open Sans"/>
          <w:color w:val="000000" w:themeColor="text1"/>
        </w:rPr>
        <w:t> </w:t>
      </w:r>
      <w:bookmarkStart w:id="19" w:name="_Toc237529625"/>
      <w:r>
        <w:rPr>
          <w:rFonts w:ascii="Open Sans" w:hAnsi="Open Sans" w:cs="Open Sans"/>
          <w:color w:val="000000" w:themeColor="text1"/>
        </w:rPr>
        <w:t>Prestations similaires</w:t>
      </w:r>
      <w:bookmarkEnd w:id="19"/>
    </w:p>
    <w:p w14:paraId="5B3E3C4D" w14:textId="657C4F32" w:rsidR="00146705" w:rsidRPr="00146705" w:rsidRDefault="00146705" w:rsidP="00146705">
      <w:pPr>
        <w:spacing w:after="200"/>
        <w:rPr>
          <w:rFonts w:ascii="Open Sans" w:hAnsi="Open Sans" w:cs="Open Sans"/>
          <w:iCs/>
          <w:color w:val="000000" w:themeColor="text1"/>
          <w:sz w:val="18"/>
        </w:rPr>
      </w:pPr>
      <w:r w:rsidRPr="00146705">
        <w:rPr>
          <w:rFonts w:ascii="Open Sans" w:hAnsi="Open Sans" w:cs="Open Sans"/>
          <w:iCs/>
          <w:color w:val="000000" w:themeColor="text1"/>
          <w:sz w:val="18"/>
        </w:rPr>
        <w:t xml:space="preserve">Le Représentant du Pouvoir Adjudicateur se réserve la possibilité de recours ultérieur à la procédure négociée pour la réalisation de prestations ou de travaux complémentaires exécutées par le titulaire initial et /ou similaires au sens de l’article R. 2122-7 du Code de la commande publique pour un montant de 10% du montant du marché. </w:t>
      </w:r>
    </w:p>
    <w:p w14:paraId="1F472BBE" w14:textId="29C95963" w:rsidR="0044480C" w:rsidRPr="002B6FC0" w:rsidRDefault="0044480C" w:rsidP="00934C76">
      <w:pPr>
        <w:pStyle w:val="Titre3"/>
        <w:spacing w:after="200"/>
        <w:rPr>
          <w:rFonts w:ascii="Open Sans" w:hAnsi="Open Sans" w:cs="Open Sans"/>
          <w:color w:val="000000" w:themeColor="text1"/>
        </w:rPr>
      </w:pPr>
      <w:bookmarkStart w:id="20" w:name="_Toc237529626"/>
      <w:r w:rsidRPr="002B6FC0">
        <w:rPr>
          <w:rFonts w:ascii="Open Sans" w:hAnsi="Open Sans" w:cs="Open Sans"/>
          <w:color w:val="000000" w:themeColor="text1"/>
        </w:rPr>
        <w:t xml:space="preserve">Changement </w:t>
      </w:r>
      <w:r w:rsidR="003615E2" w:rsidRPr="002B6FC0">
        <w:rPr>
          <w:rFonts w:ascii="Open Sans" w:hAnsi="Open Sans" w:cs="Open Sans"/>
          <w:color w:val="000000" w:themeColor="text1"/>
        </w:rPr>
        <w:t xml:space="preserve">de dénomination sociale du </w:t>
      </w:r>
      <w:r w:rsidR="00957C13" w:rsidRPr="002B6FC0">
        <w:rPr>
          <w:rFonts w:ascii="Open Sans" w:hAnsi="Open Sans" w:cs="Open Sans"/>
          <w:color w:val="000000" w:themeColor="text1"/>
        </w:rPr>
        <w:t>Titulaire</w:t>
      </w:r>
      <w:bookmarkEnd w:id="20"/>
      <w:r w:rsidR="00CB40EF" w:rsidRPr="002B6FC0">
        <w:rPr>
          <w:rFonts w:ascii="Open Sans" w:hAnsi="Open Sans" w:cs="Open Sans"/>
          <w:color w:val="000000" w:themeColor="text1"/>
        </w:rPr>
        <w:t xml:space="preserve"> </w:t>
      </w:r>
    </w:p>
    <w:p w14:paraId="4F33F8BE" w14:textId="685CF9EB" w:rsidR="00172F9E" w:rsidRPr="002B6FC0" w:rsidRDefault="0044480C"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changement </w:t>
      </w:r>
      <w:r w:rsidR="00CB40EF" w:rsidRPr="002B6FC0">
        <w:rPr>
          <w:rFonts w:ascii="Open Sans" w:hAnsi="Open Sans" w:cs="Open Sans"/>
          <w:color w:val="000000" w:themeColor="text1"/>
          <w:sz w:val="18"/>
          <w:szCs w:val="18"/>
        </w:rPr>
        <w:t>lié au statut</w:t>
      </w:r>
      <w:r w:rsidRPr="002B6FC0">
        <w:rPr>
          <w:rFonts w:ascii="Open Sans" w:hAnsi="Open Sans" w:cs="Open Sans"/>
          <w:color w:val="000000" w:themeColor="text1"/>
          <w:sz w:val="18"/>
          <w:szCs w:val="18"/>
        </w:rPr>
        <w:t xml:space="preserve"> du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celui-ci doit adresser à ACHAT</w:t>
      </w:r>
      <w:r w:rsidR="00172F9E" w:rsidRPr="002B6FC0">
        <w:rPr>
          <w:rFonts w:ascii="Open Sans" w:hAnsi="Open Sans" w:cs="Open Sans"/>
          <w:color w:val="000000" w:themeColor="text1"/>
          <w:sz w:val="18"/>
          <w:szCs w:val="18"/>
        </w:rPr>
        <w:t xml:space="preserve"> dans les plus brefs délais, une lettre recommandé</w:t>
      </w:r>
      <w:r w:rsidR="00DC5CCA" w:rsidRPr="002B6FC0">
        <w:rPr>
          <w:rFonts w:ascii="Open Sans" w:hAnsi="Open Sans" w:cs="Open Sans"/>
          <w:color w:val="000000" w:themeColor="text1"/>
          <w:sz w:val="18"/>
          <w:szCs w:val="18"/>
        </w:rPr>
        <w:t>e</w:t>
      </w:r>
      <w:r w:rsidR="00172F9E" w:rsidRPr="002B6FC0">
        <w:rPr>
          <w:rFonts w:ascii="Open Sans" w:hAnsi="Open Sans" w:cs="Open Sans"/>
          <w:color w:val="000000" w:themeColor="text1"/>
          <w:sz w:val="18"/>
          <w:szCs w:val="18"/>
        </w:rPr>
        <w:t xml:space="preserve"> avec accusé </w:t>
      </w:r>
      <w:r w:rsidR="00DC5CCA" w:rsidRPr="002B6FC0">
        <w:rPr>
          <w:rFonts w:ascii="Open Sans" w:hAnsi="Open Sans" w:cs="Open Sans"/>
          <w:color w:val="000000" w:themeColor="text1"/>
          <w:sz w:val="18"/>
          <w:szCs w:val="18"/>
        </w:rPr>
        <w:t xml:space="preserve">de </w:t>
      </w:r>
      <w:r w:rsidR="00172F9E" w:rsidRPr="002B6FC0">
        <w:rPr>
          <w:rFonts w:ascii="Open Sans" w:hAnsi="Open Sans" w:cs="Open Sans"/>
          <w:color w:val="000000" w:themeColor="text1"/>
          <w:sz w:val="18"/>
          <w:szCs w:val="18"/>
        </w:rPr>
        <w:t>réception en communicant un extrait du</w:t>
      </w:r>
      <w:r w:rsidR="00E60BFB" w:rsidRPr="002B6FC0">
        <w:rPr>
          <w:rFonts w:ascii="Open Sans" w:hAnsi="Open Sans" w:cs="Open Sans"/>
          <w:color w:val="000000" w:themeColor="text1"/>
          <w:sz w:val="18"/>
          <w:szCs w:val="18"/>
        </w:rPr>
        <w:t xml:space="preserve"> </w:t>
      </w:r>
      <w:proofErr w:type="spellStart"/>
      <w:r w:rsidR="00E60BFB" w:rsidRPr="002B6FC0">
        <w:rPr>
          <w:rFonts w:ascii="Open Sans" w:hAnsi="Open Sans" w:cs="Open Sans"/>
          <w:color w:val="000000" w:themeColor="text1"/>
          <w:sz w:val="18"/>
          <w:szCs w:val="18"/>
        </w:rPr>
        <w:t>Kbis</w:t>
      </w:r>
      <w:proofErr w:type="spellEnd"/>
      <w:r w:rsidR="00E60BFB" w:rsidRPr="002B6FC0">
        <w:rPr>
          <w:rFonts w:ascii="Open Sans" w:hAnsi="Open Sans" w:cs="Open Sans"/>
          <w:color w:val="000000" w:themeColor="text1"/>
          <w:sz w:val="18"/>
          <w:szCs w:val="18"/>
        </w:rPr>
        <w:t xml:space="preserve"> mentionnant ce changement à l’adresse suivante : </w:t>
      </w:r>
    </w:p>
    <w:p w14:paraId="31D9AD02" w14:textId="77777777" w:rsidR="00CB40EF" w:rsidRPr="003640AB" w:rsidRDefault="00CB40EF" w:rsidP="00934C76">
      <w:pPr>
        <w:jc w:val="center"/>
        <w:rPr>
          <w:rFonts w:ascii="Open Sans" w:hAnsi="Open Sans" w:cs="Open Sans"/>
          <w:iCs/>
          <w:color w:val="000000" w:themeColor="text1"/>
          <w:sz w:val="18"/>
          <w:szCs w:val="18"/>
        </w:rPr>
      </w:pPr>
      <w:r w:rsidRPr="003640AB">
        <w:rPr>
          <w:rFonts w:ascii="Open Sans" w:hAnsi="Open Sans" w:cs="Open Sans"/>
          <w:iCs/>
          <w:color w:val="000000" w:themeColor="text1"/>
          <w:sz w:val="18"/>
          <w:szCs w:val="18"/>
        </w:rPr>
        <w:t>ACHAT</w:t>
      </w:r>
    </w:p>
    <w:p w14:paraId="06CEFE4C" w14:textId="03B77AE6"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 xml:space="preserve">Madame la Directrice </w:t>
      </w:r>
    </w:p>
    <w:p w14:paraId="308B3A95" w14:textId="1D289A80"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CHU Bicêtre</w:t>
      </w:r>
    </w:p>
    <w:p w14:paraId="68532DFC" w14:textId="77777777"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78, Rue du Général Leclerc</w:t>
      </w:r>
    </w:p>
    <w:p w14:paraId="7176434B" w14:textId="5A17FDCD" w:rsidR="00CB40EF" w:rsidRPr="002B6FC0" w:rsidRDefault="00CB40EF" w:rsidP="00934C76">
      <w:pPr>
        <w:spacing w:after="200"/>
        <w:jc w:val="center"/>
        <w:rPr>
          <w:rFonts w:ascii="Open Sans" w:hAnsi="Open Sans" w:cs="Open Sans"/>
          <w:color w:val="000000" w:themeColor="text1"/>
          <w:sz w:val="18"/>
          <w:szCs w:val="18"/>
        </w:rPr>
      </w:pPr>
      <w:r w:rsidRPr="002B6FC0">
        <w:rPr>
          <w:rFonts w:ascii="Open Sans" w:hAnsi="Open Sans" w:cs="Open Sans"/>
          <w:color w:val="000000" w:themeColor="text1"/>
          <w:sz w:val="18"/>
          <w:szCs w:val="18"/>
        </w:rPr>
        <w:t>94270 Le Kremlin-Bicêtre</w:t>
      </w:r>
    </w:p>
    <w:p w14:paraId="761E207B" w14:textId="0184773F" w:rsidR="00CB40EF" w:rsidRPr="002B6FC0" w:rsidRDefault="00CB40EF"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Les changements concernés par la présente clause sont les suivants :</w:t>
      </w:r>
    </w:p>
    <w:p w14:paraId="7C4C78B4" w14:textId="58DF124A" w:rsidR="00CB40EF" w:rsidRPr="002B6FC0" w:rsidRDefault="00E60BFB"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w:t>
      </w:r>
      <w:r w:rsidR="00CB40EF" w:rsidRPr="002B6FC0">
        <w:rPr>
          <w:rFonts w:ascii="Open Sans" w:hAnsi="Open Sans" w:cs="Open Sans"/>
          <w:color w:val="000000" w:themeColor="text1"/>
          <w:sz w:val="18"/>
          <w:szCs w:val="18"/>
        </w:rPr>
        <w:t xml:space="preserve">hangement de dénomination sociale sans création d’une personne morale nouvelle, ni transfert du marché à une autre personne morale. </w:t>
      </w:r>
    </w:p>
    <w:p w14:paraId="3130974F" w14:textId="79B0059C" w:rsidR="00CB40EF" w:rsidRPr="002B6FC0"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statut juridique </w:t>
      </w:r>
    </w:p>
    <w:p w14:paraId="70D4189F" w14:textId="4A2D824E" w:rsidR="00CB40EF" w:rsidRPr="002B6FC0"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références bancaires </w:t>
      </w:r>
    </w:p>
    <w:p w14:paraId="4EECC885" w14:textId="6F7A6015" w:rsidR="00CB40EF"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Changement d’adresse</w:t>
      </w:r>
    </w:p>
    <w:p w14:paraId="44C4FE90" w14:textId="77777777" w:rsidR="003640AB" w:rsidRPr="002B6FC0" w:rsidRDefault="003640AB" w:rsidP="003640AB">
      <w:pPr>
        <w:pStyle w:val="Paragraphedeliste"/>
        <w:contextualSpacing w:val="0"/>
        <w:rPr>
          <w:rFonts w:ascii="Open Sans" w:hAnsi="Open Sans" w:cs="Open Sans"/>
          <w:color w:val="000000" w:themeColor="text1"/>
          <w:sz w:val="18"/>
          <w:szCs w:val="18"/>
        </w:rPr>
      </w:pPr>
    </w:p>
    <w:p w14:paraId="6CDAED78" w14:textId="5639B43C" w:rsidR="00D6688D" w:rsidRPr="002B6FC0" w:rsidRDefault="001F023D"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Un certificat administratif est alors établi par ACHAT</w:t>
      </w:r>
      <w:r w:rsidR="00CB40EF" w:rsidRPr="002B6FC0">
        <w:rPr>
          <w:rFonts w:ascii="Open Sans" w:hAnsi="Open Sans" w:cs="Open Sans"/>
          <w:color w:val="000000" w:themeColor="text1"/>
          <w:sz w:val="18"/>
          <w:szCs w:val="18"/>
        </w:rPr>
        <w:t xml:space="preserve">. </w:t>
      </w:r>
    </w:p>
    <w:p w14:paraId="2FA6C8CD" w14:textId="7BEDDFE1" w:rsidR="0044480C" w:rsidRPr="00DB593F" w:rsidRDefault="0044480C" w:rsidP="00934C76">
      <w:pPr>
        <w:pStyle w:val="Titre3"/>
        <w:spacing w:after="200"/>
        <w:rPr>
          <w:rFonts w:ascii="Open Sans" w:hAnsi="Open Sans" w:cs="Open Sans"/>
          <w:color w:val="000000" w:themeColor="text1"/>
        </w:rPr>
      </w:pPr>
      <w:bookmarkStart w:id="21" w:name="_Toc237529627"/>
      <w:r w:rsidRPr="002B6FC0">
        <w:rPr>
          <w:rFonts w:ascii="Open Sans" w:hAnsi="Open Sans" w:cs="Open Sans"/>
          <w:color w:val="000000" w:themeColor="text1"/>
        </w:rPr>
        <w:t xml:space="preserve">Changement de </w:t>
      </w:r>
      <w:r w:rsidR="00172F9E" w:rsidRPr="002B6FC0">
        <w:rPr>
          <w:rFonts w:ascii="Open Sans" w:hAnsi="Open Sans" w:cs="Open Sans"/>
          <w:color w:val="000000" w:themeColor="text1"/>
        </w:rPr>
        <w:t xml:space="preserve">personnalité morale du </w:t>
      </w:r>
      <w:r w:rsidR="00957C13" w:rsidRPr="002B6FC0">
        <w:rPr>
          <w:rFonts w:ascii="Open Sans" w:hAnsi="Open Sans" w:cs="Open Sans"/>
          <w:color w:val="000000" w:themeColor="text1"/>
        </w:rPr>
        <w:t>Titulaire</w:t>
      </w:r>
      <w:r w:rsidR="003615E2" w:rsidRPr="002B6FC0">
        <w:rPr>
          <w:rFonts w:ascii="Open Sans" w:hAnsi="Open Sans" w:cs="Open Sans"/>
          <w:color w:val="000000" w:themeColor="text1"/>
        </w:rPr>
        <w:t xml:space="preserve"> en cours d’execution</w:t>
      </w:r>
      <w:bookmarkEnd w:id="21"/>
    </w:p>
    <w:p w14:paraId="6631EC3D" w14:textId="341CBF82" w:rsidR="00172F9E" w:rsidRPr="002B6FC0" w:rsidRDefault="001F023D" w:rsidP="00934C76">
      <w:pPr>
        <w:spacing w:after="200"/>
        <w:rPr>
          <w:rFonts w:ascii="Open Sans" w:hAnsi="Open Sans" w:cs="Open Sans"/>
          <w:color w:val="000000" w:themeColor="text1"/>
          <w:sz w:val="18"/>
        </w:rPr>
      </w:pPr>
      <w:r w:rsidRPr="002B6FC0">
        <w:rPr>
          <w:rFonts w:ascii="Open Sans" w:hAnsi="Open Sans" w:cs="Open Sans"/>
          <w:color w:val="000000" w:themeColor="text1"/>
          <w:sz w:val="18"/>
          <w:szCs w:val="18"/>
        </w:rPr>
        <w:t xml:space="preserve">En cas de changement </w:t>
      </w:r>
      <w:r w:rsidR="00172F9E" w:rsidRPr="002B6FC0">
        <w:rPr>
          <w:rFonts w:ascii="Open Sans" w:hAnsi="Open Sans" w:cs="Open Sans"/>
          <w:color w:val="000000" w:themeColor="text1"/>
          <w:sz w:val="18"/>
          <w:szCs w:val="18"/>
        </w:rPr>
        <w:t xml:space="preserve">de personnalité morale du </w:t>
      </w:r>
      <w:r w:rsidR="00957C13" w:rsidRPr="002B6FC0">
        <w:rPr>
          <w:rFonts w:ascii="Open Sans" w:hAnsi="Open Sans" w:cs="Open Sans"/>
          <w:color w:val="000000" w:themeColor="text1"/>
          <w:sz w:val="18"/>
          <w:szCs w:val="18"/>
        </w:rPr>
        <w:t>Titulaire</w:t>
      </w:r>
      <w:r w:rsidR="00172F9E" w:rsidRPr="002B6FC0">
        <w:rPr>
          <w:rFonts w:ascii="Open Sans" w:hAnsi="Open Sans" w:cs="Open Sans"/>
          <w:color w:val="000000" w:themeColor="text1"/>
          <w:sz w:val="18"/>
          <w:szCs w:val="18"/>
        </w:rPr>
        <w:t xml:space="preserve">, </w:t>
      </w:r>
      <w:r w:rsidR="003F0B44" w:rsidRPr="002B6FC0">
        <w:rPr>
          <w:rFonts w:ascii="Open Sans" w:hAnsi="Open Sans" w:cs="Open Sans"/>
          <w:color w:val="000000" w:themeColor="text1"/>
          <w:sz w:val="18"/>
          <w:szCs w:val="18"/>
        </w:rPr>
        <w:t xml:space="preserve">et avant tout transfert, </w:t>
      </w:r>
      <w:r w:rsidR="00172F9E" w:rsidRPr="002B6FC0">
        <w:rPr>
          <w:rFonts w:ascii="Open Sans" w:hAnsi="Open Sans" w:cs="Open Sans"/>
          <w:color w:val="000000" w:themeColor="text1"/>
          <w:sz w:val="18"/>
        </w:rPr>
        <w:t xml:space="preserve">celui-ci doit </w:t>
      </w:r>
      <w:r w:rsidR="003F0B44" w:rsidRPr="002B6FC0">
        <w:rPr>
          <w:rFonts w:ascii="Open Sans" w:hAnsi="Open Sans" w:cs="Open Sans"/>
          <w:color w:val="000000" w:themeColor="text1"/>
          <w:sz w:val="18"/>
        </w:rPr>
        <w:t xml:space="preserve">en avertir le représentant du pouvoir adjudicateur, via courrier recommandé dans les plus brefs délais. </w:t>
      </w:r>
    </w:p>
    <w:p w14:paraId="2323D413" w14:textId="73651BDB" w:rsidR="00DC5CCA" w:rsidRPr="002B6FC0" w:rsidRDefault="00DC5CCA"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 représentant du pouvoir adjudicateur vérifie que le futur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dispose des capacités techniques, professionnelles et financières nécessaires à</w:t>
      </w:r>
      <w:r w:rsidR="003615E2" w:rsidRPr="002B6FC0">
        <w:rPr>
          <w:rFonts w:ascii="Open Sans" w:hAnsi="Open Sans" w:cs="Open Sans"/>
          <w:color w:val="000000" w:themeColor="text1"/>
          <w:sz w:val="18"/>
        </w:rPr>
        <w:t xml:space="preserve"> l’exécution des prestations et, </w:t>
      </w:r>
      <w:r w:rsidRPr="002B6FC0">
        <w:rPr>
          <w:rFonts w:ascii="Open Sans" w:hAnsi="Open Sans" w:cs="Open Sans"/>
          <w:color w:val="000000" w:themeColor="text1"/>
          <w:sz w:val="18"/>
        </w:rPr>
        <w:t xml:space="preserve">le cas échéant s’il est en règle avec ses obligations fiscales et sociales. Pour ce faire,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doit, au regard des articles R2143-6 à R 2143-10 du </w:t>
      </w:r>
      <w:r w:rsidR="00D753AC" w:rsidRPr="002B6FC0">
        <w:rPr>
          <w:rFonts w:ascii="Open Sans" w:hAnsi="Open Sans" w:cs="Open Sans"/>
          <w:color w:val="000000" w:themeColor="text1"/>
          <w:sz w:val="18"/>
        </w:rPr>
        <w:t xml:space="preserve">Code </w:t>
      </w:r>
      <w:r w:rsidRPr="002B6FC0">
        <w:rPr>
          <w:rFonts w:ascii="Open Sans" w:hAnsi="Open Sans" w:cs="Open Sans"/>
          <w:color w:val="000000" w:themeColor="text1"/>
          <w:sz w:val="18"/>
        </w:rPr>
        <w:t xml:space="preserve">de la commande publique, produire l’ensemble des pièces justifiants de ces capacités. </w:t>
      </w:r>
    </w:p>
    <w:p w14:paraId="1DD928FE" w14:textId="44EA95AB" w:rsidR="00142A2F" w:rsidRDefault="00DC5CCA" w:rsidP="006C159E">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Dans le cas où le cessionnaire présente les capacités suffisantes, un avenant de transfert établi par le RPA est alors adressé au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Dans le cas contraire, l’APHP peut prononcer la résiliation du marché sans que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ne puisse prétendre à aucune indemnité. </w:t>
      </w:r>
    </w:p>
    <w:p w14:paraId="40683381" w14:textId="31D7911C" w:rsidR="00DB593F" w:rsidRDefault="00DB593F" w:rsidP="003640AB">
      <w:pPr>
        <w:pStyle w:val="Titre3"/>
        <w:spacing w:after="200"/>
        <w:rPr>
          <w:rFonts w:ascii="Open Sans" w:hAnsi="Open Sans" w:cs="Open Sans"/>
          <w:color w:val="000000" w:themeColor="text1"/>
        </w:rPr>
      </w:pPr>
      <w:bookmarkStart w:id="22" w:name="_Toc237529628"/>
      <w:bookmarkStart w:id="23" w:name="_Toc196812179"/>
      <w:bookmarkEnd w:id="18"/>
      <w:r w:rsidRPr="002B6FC0">
        <w:rPr>
          <w:rFonts w:ascii="Open Sans" w:hAnsi="Open Sans" w:cs="Open Sans"/>
          <w:color w:val="000000" w:themeColor="text1"/>
        </w:rPr>
        <w:t>Clauses sociales</w:t>
      </w:r>
      <w:bookmarkEnd w:id="22"/>
      <w:r w:rsidRPr="002B6FC0">
        <w:rPr>
          <w:rFonts w:ascii="Open Sans" w:hAnsi="Open Sans" w:cs="Open Sans"/>
          <w:color w:val="000000" w:themeColor="text1"/>
        </w:rPr>
        <w:t> </w:t>
      </w:r>
    </w:p>
    <w:p w14:paraId="3E54B371" w14:textId="29FBA52A" w:rsidR="00DB593F" w:rsidRDefault="00DB593F" w:rsidP="00DB593F">
      <w:pPr>
        <w:autoSpaceDE w:val="0"/>
        <w:autoSpaceDN w:val="0"/>
        <w:adjustRightInd w:val="0"/>
        <w:spacing w:after="200"/>
        <w:rPr>
          <w:rFonts w:ascii="Open Sans" w:hAnsi="Open Sans" w:cs="Open Sans"/>
          <w:color w:val="auto"/>
          <w:sz w:val="18"/>
          <w:szCs w:val="18"/>
        </w:rPr>
      </w:pPr>
      <w:r>
        <w:rPr>
          <w:rFonts w:ascii="Open Sans" w:hAnsi="Open Sans" w:cs="Open Sans"/>
          <w:color w:val="auto"/>
          <w:sz w:val="18"/>
          <w:szCs w:val="18"/>
        </w:rPr>
        <w:t>Le titulaire s’engage à transmettre à la date anniversaire du présent marché, la liste des investissements, acquisitions, donations, dépenses à caractère sociale et équitable.</w:t>
      </w:r>
    </w:p>
    <w:p w14:paraId="1DB718B6" w14:textId="05B6512C" w:rsidR="00E406EC" w:rsidRPr="003640AB" w:rsidRDefault="00E406EC" w:rsidP="003640AB">
      <w:pPr>
        <w:pStyle w:val="Titre3"/>
        <w:spacing w:after="200"/>
        <w:rPr>
          <w:rFonts w:ascii="Open Sans" w:hAnsi="Open Sans" w:cs="Open Sans"/>
          <w:color w:val="000000" w:themeColor="text1"/>
        </w:rPr>
      </w:pPr>
      <w:bookmarkStart w:id="24" w:name="_Toc237529629"/>
      <w:r w:rsidRPr="003640AB">
        <w:rPr>
          <w:rFonts w:ascii="Open Sans" w:hAnsi="Open Sans" w:cs="Open Sans"/>
          <w:color w:val="000000" w:themeColor="text1"/>
        </w:rPr>
        <w:lastRenderedPageBreak/>
        <w:t>V</w:t>
      </w:r>
      <w:bookmarkEnd w:id="23"/>
      <w:r w:rsidRPr="003640AB">
        <w:rPr>
          <w:rFonts w:ascii="Open Sans" w:hAnsi="Open Sans" w:cs="Open Sans"/>
          <w:color w:val="000000" w:themeColor="text1"/>
        </w:rPr>
        <w:t>igilances</w:t>
      </w:r>
      <w:bookmarkEnd w:id="24"/>
      <w:r w:rsidRPr="003640AB">
        <w:rPr>
          <w:rFonts w:ascii="Open Sans" w:hAnsi="Open Sans" w:cs="Open Sans"/>
          <w:color w:val="000000" w:themeColor="text1"/>
        </w:rPr>
        <w:t xml:space="preserve"> </w:t>
      </w:r>
    </w:p>
    <w:p w14:paraId="143BB48E" w14:textId="2C3272A7" w:rsidR="00E406EC" w:rsidRPr="00146705" w:rsidRDefault="00E406EC" w:rsidP="005E2F88">
      <w:pPr>
        <w:pStyle w:val="Titre5"/>
      </w:pPr>
      <w:r w:rsidRPr="00146705">
        <w:t xml:space="preserve">Certificats administratifs </w:t>
      </w:r>
    </w:p>
    <w:p w14:paraId="518A70C8" w14:textId="77777777" w:rsidR="00E406EC" w:rsidRPr="00FB65BF" w:rsidRDefault="00E406EC" w:rsidP="00E406EC">
      <w:pPr>
        <w:autoSpaceDE w:val="0"/>
        <w:autoSpaceDN w:val="0"/>
        <w:adjustRightInd w:val="0"/>
        <w:spacing w:after="200"/>
        <w:rPr>
          <w:rFonts w:ascii="Open Sans" w:hAnsi="Open Sans" w:cs="Open Sans"/>
          <w:color w:val="auto"/>
          <w:sz w:val="18"/>
          <w:szCs w:val="18"/>
        </w:rPr>
      </w:pPr>
      <w:r w:rsidRPr="00FB65BF">
        <w:rPr>
          <w:rFonts w:ascii="Open Sans" w:hAnsi="Open Sans" w:cs="Open Sans"/>
          <w:color w:val="auto"/>
          <w:sz w:val="18"/>
          <w:szCs w:val="18"/>
        </w:rPr>
        <w:t>Le Titulaire est tenu de transmettre à compter de la date d’attribution du marché, de les actualiser tous les six mois, selon la date de validité des documents, et sans que l’AP-HP n’en fasse la demande expresse, les pièces prévues aux articles D8222-5 et D8222-7 du Code du travail, et ce jusqu’à la fin de l’exécution du marché. En cas de non présentation de ces documents dans les délais impartis, une mise en demeure est envoyée au Titulaire. Le Titulaire est tenu de présenter les documents dans un délai de 15 jours à compter de la mise en demeure.</w:t>
      </w:r>
    </w:p>
    <w:p w14:paraId="47158BE6" w14:textId="1DEE6C36" w:rsidR="00E406EC" w:rsidRDefault="00E406EC" w:rsidP="00E406EC">
      <w:pPr>
        <w:spacing w:after="200"/>
        <w:rPr>
          <w:rFonts w:ascii="Open Sans" w:hAnsi="Open Sans" w:cs="Open Sans"/>
          <w:color w:val="auto"/>
          <w:sz w:val="18"/>
          <w:szCs w:val="18"/>
        </w:rPr>
      </w:pPr>
      <w:r w:rsidRPr="00FB65BF">
        <w:rPr>
          <w:rFonts w:ascii="Open Sans" w:hAnsi="Open Sans" w:cs="Open Sans"/>
          <w:color w:val="auto"/>
          <w:sz w:val="18"/>
          <w:szCs w:val="18"/>
        </w:rPr>
        <w:t>Pour ce faire, l’AP-HP recourt à une plateforme sur laquelle les Titulaires du marché devront obligatoirement se créer un compte dès l’attribution du marché, puis mettre en ligne et actualiser les documents demandés à la périodicité requise.  Les modalités d’accès à la plateforme seront communiquées à l’attribution</w:t>
      </w:r>
      <w:r w:rsidR="00DB593F">
        <w:rPr>
          <w:rFonts w:ascii="Open Sans" w:hAnsi="Open Sans" w:cs="Open Sans"/>
          <w:color w:val="auto"/>
          <w:sz w:val="18"/>
          <w:szCs w:val="18"/>
        </w:rPr>
        <w:t>.</w:t>
      </w:r>
    </w:p>
    <w:p w14:paraId="20A4D39E" w14:textId="60E1A115" w:rsidR="00E406EC" w:rsidRDefault="00E406EC" w:rsidP="005E2F88">
      <w:pPr>
        <w:pStyle w:val="Titre5"/>
      </w:pPr>
      <w:r w:rsidRPr="00146705">
        <w:t>Certificats d’éthique et de développement durable</w:t>
      </w:r>
    </w:p>
    <w:p w14:paraId="6E571ECD" w14:textId="77777777" w:rsidR="00E406EC" w:rsidRPr="00146705" w:rsidRDefault="00E406EC" w:rsidP="00E406EC">
      <w:pPr>
        <w:rPr>
          <w:rFonts w:ascii="Open Sans" w:hAnsi="Open Sans" w:cs="Open Sans"/>
          <w:color w:val="auto"/>
          <w:sz w:val="18"/>
          <w:szCs w:val="18"/>
        </w:rPr>
      </w:pPr>
      <w:r w:rsidRPr="00146705">
        <w:rPr>
          <w:rFonts w:ascii="Open Sans" w:hAnsi="Open Sans" w:cs="Open Sans"/>
          <w:color w:val="auto"/>
          <w:sz w:val="18"/>
          <w:szCs w:val="18"/>
        </w:rPr>
        <w:t xml:space="preserve">Conformément aux obligations de la </w:t>
      </w:r>
      <w:r w:rsidRPr="00146705">
        <w:rPr>
          <w:rFonts w:ascii="Open Sans" w:hAnsi="Open Sans" w:cs="Open Sans"/>
          <w:i/>
          <w:iCs/>
          <w:color w:val="auto"/>
          <w:sz w:val="18"/>
          <w:szCs w:val="18"/>
        </w:rPr>
        <w:t>loi n° 2016-1691 du 9 décembre 2016 (dite loi Sapin II)</w:t>
      </w:r>
      <w:r w:rsidRPr="00146705">
        <w:rPr>
          <w:rFonts w:ascii="Open Sans" w:hAnsi="Open Sans" w:cs="Open Sans"/>
          <w:color w:val="auto"/>
          <w:sz w:val="18"/>
          <w:szCs w:val="18"/>
        </w:rPr>
        <w:t xml:space="preserve">, L’AP-HP met en place une surveillance de ses fournisseurs en matière de corruption, ainsi que de risques environnementaux et humains. </w:t>
      </w:r>
    </w:p>
    <w:p w14:paraId="155F3C11" w14:textId="730EA190" w:rsidR="00E406EC" w:rsidRPr="00146705" w:rsidRDefault="00000B95"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Pour ce faire, l’AP-HP recours à la plateforme VIACO dans laquelle le titulaire ainsi que ses éventuels co-traitants répondent à un questionnaire standardisé, afin d’évaluer leurs actions de lutte contre la corruption, les sanctions et la gouvernance d’entreprise. Les modalités d’accès à la plateforme sont communiquées au moment de l’attribution du présent marché. Pour toute question à ce sujet, le titulaire prendra contact avec le service Pilotage d’ACHAT (mail : </w:t>
      </w:r>
      <w:hyperlink r:id="rId14" w:history="1">
        <w:r w:rsidR="00567B84" w:rsidRPr="00146705">
          <w:rPr>
            <w:rStyle w:val="Lienhypertexte"/>
            <w:rFonts w:ascii="Open Sans" w:hAnsi="Open Sans" w:cs="Open Sans"/>
            <w:color w:val="auto"/>
            <w:sz w:val="18"/>
            <w:szCs w:val="18"/>
          </w:rPr>
          <w:t>service.pilotage.marches.aca@aphp.fr</w:t>
        </w:r>
      </w:hyperlink>
      <w:r w:rsidRPr="00146705">
        <w:rPr>
          <w:rFonts w:ascii="Open Sans" w:hAnsi="Open Sans" w:cs="Open Sans"/>
          <w:color w:val="auto"/>
          <w:sz w:val="18"/>
          <w:szCs w:val="18"/>
        </w:rPr>
        <w:t>).</w:t>
      </w:r>
      <w:r w:rsidR="00915718" w:rsidRPr="00146705">
        <w:rPr>
          <w:rFonts w:ascii="Open Sans" w:hAnsi="Open Sans" w:cs="Open Sans"/>
          <w:color w:val="auto"/>
          <w:sz w:val="18"/>
          <w:szCs w:val="18"/>
        </w:rPr>
        <w:t xml:space="preserve"> </w:t>
      </w:r>
    </w:p>
    <w:p w14:paraId="13590A2D" w14:textId="101B448A" w:rsidR="00915718" w:rsidRPr="00146705" w:rsidRDefault="00915718"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Cette obligation s’applique également aux sous-traitants du titulaire. </w:t>
      </w:r>
    </w:p>
    <w:p w14:paraId="3D4540CF" w14:textId="62266727" w:rsidR="006E1CFB" w:rsidRPr="002B6FC0" w:rsidRDefault="006E1CFB" w:rsidP="00934C76">
      <w:pPr>
        <w:pStyle w:val="Titre3"/>
        <w:spacing w:after="200"/>
        <w:rPr>
          <w:rFonts w:ascii="Open Sans" w:hAnsi="Open Sans" w:cs="Open Sans"/>
          <w:color w:val="000000" w:themeColor="text1"/>
        </w:rPr>
      </w:pPr>
      <w:bookmarkStart w:id="25" w:name="_Toc237529630"/>
      <w:r w:rsidRPr="002B6FC0">
        <w:rPr>
          <w:rFonts w:ascii="Open Sans" w:hAnsi="Open Sans" w:cs="Open Sans"/>
          <w:color w:val="000000" w:themeColor="text1"/>
        </w:rPr>
        <w:t>Secret professionnel</w:t>
      </w:r>
      <w:r w:rsidR="00957C13" w:rsidRPr="002B6FC0">
        <w:rPr>
          <w:rFonts w:ascii="Open Sans" w:hAnsi="Open Sans" w:cs="Open Sans"/>
          <w:color w:val="000000" w:themeColor="text1"/>
        </w:rPr>
        <w:t xml:space="preserve"> et confidentialité</w:t>
      </w:r>
      <w:bookmarkEnd w:id="25"/>
      <w:r w:rsidR="00957C13" w:rsidRPr="002B6FC0">
        <w:rPr>
          <w:rFonts w:ascii="Open Sans" w:hAnsi="Open Sans" w:cs="Open Sans"/>
          <w:color w:val="000000" w:themeColor="text1"/>
        </w:rPr>
        <w:t xml:space="preserve"> </w:t>
      </w:r>
    </w:p>
    <w:p w14:paraId="2BC6E51F" w14:textId="35B6E4BB" w:rsidR="00403B99" w:rsidRP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est tenu contractuellement au secret professionnel sur toutes les informations (techniques, financières ou organisationnelles) auxquelles il aurait accès dans le cadre de l’exécution du présent marché.</w:t>
      </w:r>
    </w:p>
    <w:p w14:paraId="1DEA5111" w14:textId="6A078F7A" w:rsidR="001B2ABA"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s’engage à restituer sans délai à l’issue du présent marché, quelle qu’en soit la cause, l’ensemble des documents, éléments et outils que lui aurait confié le </w:t>
      </w:r>
      <w:r w:rsidR="00472D89" w:rsidRPr="003640AB">
        <w:rPr>
          <w:rFonts w:ascii="Open Sans" w:hAnsi="Open Sans" w:cs="Open Sans"/>
          <w:color w:val="auto"/>
          <w:sz w:val="18"/>
          <w:szCs w:val="18"/>
        </w:rPr>
        <w:t xml:space="preserve">représentant du pouvoir adjudicateur. </w:t>
      </w:r>
    </w:p>
    <w:p w14:paraId="3F181CA7" w14:textId="77777777" w:rsidR="003640AB" w:rsidRPr="003640AB" w:rsidRDefault="003640AB" w:rsidP="003640AB">
      <w:pPr>
        <w:rPr>
          <w:rFonts w:ascii="Open Sans" w:hAnsi="Open Sans" w:cs="Open Sans"/>
          <w:color w:val="auto"/>
          <w:sz w:val="18"/>
          <w:szCs w:val="18"/>
        </w:rPr>
      </w:pPr>
    </w:p>
    <w:p w14:paraId="5174CC21" w14:textId="77777777" w:rsid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reconnaissant par avance que toute divulgation lés</w:t>
      </w:r>
      <w:r w:rsidR="000D3457" w:rsidRPr="003640AB">
        <w:rPr>
          <w:rFonts w:ascii="Open Sans" w:hAnsi="Open Sans" w:cs="Open Sans"/>
          <w:color w:val="auto"/>
          <w:sz w:val="18"/>
          <w:szCs w:val="18"/>
        </w:rPr>
        <w:t>erait gravement les intérêts de l’AP-HP</w:t>
      </w:r>
      <w:r w:rsidRPr="003640AB">
        <w:rPr>
          <w:rFonts w:ascii="Open Sans" w:hAnsi="Open Sans" w:cs="Open Sans"/>
          <w:color w:val="auto"/>
          <w:sz w:val="18"/>
          <w:szCs w:val="18"/>
        </w:rPr>
        <w:t xml:space="preserve">, s’engage à ce que les informations, documents et savoir-faire, transmis, ne puissent être utilisés, ni publiés, ni communiqués, par quelque moyen, sous quelque forme et quelque manière que ce soit, sans l’accord préalable et écrit du </w:t>
      </w:r>
      <w:r w:rsidR="000D3457" w:rsidRPr="003640AB">
        <w:rPr>
          <w:rFonts w:ascii="Open Sans" w:hAnsi="Open Sans" w:cs="Open Sans"/>
          <w:color w:val="auto"/>
          <w:sz w:val="18"/>
          <w:szCs w:val="18"/>
        </w:rPr>
        <w:t>RPA</w:t>
      </w:r>
      <w:r w:rsidRPr="003640AB">
        <w:rPr>
          <w:rFonts w:ascii="Open Sans" w:hAnsi="Open Sans" w:cs="Open Sans"/>
          <w:color w:val="auto"/>
          <w:sz w:val="18"/>
          <w:szCs w:val="18"/>
        </w:rPr>
        <w:t xml:space="preserve">. </w:t>
      </w:r>
    </w:p>
    <w:p w14:paraId="0901CA9C" w14:textId="77777777" w:rsidR="003640AB" w:rsidRDefault="003640AB" w:rsidP="003640AB">
      <w:pPr>
        <w:rPr>
          <w:rFonts w:ascii="Open Sans" w:hAnsi="Open Sans" w:cs="Open Sans"/>
          <w:color w:val="auto"/>
          <w:sz w:val="18"/>
          <w:szCs w:val="18"/>
        </w:rPr>
      </w:pPr>
    </w:p>
    <w:p w14:paraId="4134CD52" w14:textId="24C678D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La méconnaissance de cette prescription obligerait 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à en couvrir les entières conséquences.</w:t>
      </w:r>
    </w:p>
    <w:p w14:paraId="6D16DCD2" w14:textId="77777777" w:rsidR="003640AB" w:rsidRPr="003640AB" w:rsidRDefault="003640AB" w:rsidP="003640AB">
      <w:pPr>
        <w:rPr>
          <w:rFonts w:ascii="Open Sans" w:hAnsi="Open Sans" w:cs="Open Sans"/>
          <w:color w:val="auto"/>
          <w:sz w:val="18"/>
          <w:szCs w:val="18"/>
        </w:rPr>
      </w:pPr>
    </w:p>
    <w:p w14:paraId="067FDA0B" w14:textId="212242C7" w:rsidR="00DD6CD8" w:rsidRDefault="00957C13" w:rsidP="003640AB">
      <w:pPr>
        <w:rPr>
          <w:rFonts w:ascii="Open Sans" w:hAnsi="Open Sans" w:cs="Open Sans"/>
          <w:color w:val="auto"/>
          <w:sz w:val="18"/>
          <w:szCs w:val="18"/>
        </w:rPr>
      </w:pPr>
      <w:r w:rsidRPr="003640AB">
        <w:rPr>
          <w:rFonts w:ascii="Open Sans" w:hAnsi="Open Sans" w:cs="Open Sans"/>
          <w:color w:val="auto"/>
          <w:sz w:val="18"/>
          <w:szCs w:val="18"/>
        </w:rPr>
        <w:t>En outre, le Titulaire veille à ce qu’au cours de l’exécution du présent marché, soient respectées la sécurité et la confidentialité des données et des accès informatiques de l’APHP conformément aux lois et régimes applicables, et notamment conformément à la loi n° 78-17 du 6 janvier 1978 modifiée par la Loi n°2018-493 du 20 juin 2018 relative à la protection des données personnelles (article 29) et aux dispositions du code pénal en vigueur.</w:t>
      </w:r>
    </w:p>
    <w:p w14:paraId="16A25314" w14:textId="77777777" w:rsidR="00EF2CF5" w:rsidRDefault="00EF2CF5" w:rsidP="003640AB">
      <w:pPr>
        <w:rPr>
          <w:rFonts w:ascii="Open Sans" w:hAnsi="Open Sans" w:cs="Open Sans"/>
          <w:color w:val="auto"/>
          <w:sz w:val="18"/>
          <w:szCs w:val="18"/>
        </w:rPr>
      </w:pPr>
    </w:p>
    <w:p w14:paraId="44B0815C" w14:textId="0B1DF08F" w:rsidR="00957C13" w:rsidRDefault="00957C13" w:rsidP="003640AB">
      <w:pPr>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ce titre, le Titulaire s’engage : </w:t>
      </w:r>
    </w:p>
    <w:p w14:paraId="21DFD332" w14:textId="77777777" w:rsidR="00DB593F" w:rsidRPr="00DB593F" w:rsidRDefault="00DB593F" w:rsidP="00DB593F">
      <w:pPr>
        <w:pStyle w:val="Paragraphedeliste"/>
        <w:ind w:left="567"/>
        <w:contextualSpacing w:val="0"/>
        <w:rPr>
          <w:rFonts w:ascii="Open Sans" w:hAnsi="Open Sans" w:cs="Open Sans"/>
          <w:color w:val="000000" w:themeColor="text1"/>
          <w:sz w:val="8"/>
          <w:szCs w:val="8"/>
        </w:rPr>
      </w:pPr>
    </w:p>
    <w:p w14:paraId="64276341" w14:textId="0C41941D"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rendre publique aucune information de l’AP-HP, sans l’accord de l’AP-HP, quelle que soit la source ou</w:t>
      </w:r>
      <w:r w:rsidR="00BE1D77" w:rsidRPr="003640AB">
        <w:rPr>
          <w:rFonts w:ascii="Open Sans" w:hAnsi="Open Sans" w:cs="Open Sans"/>
          <w:color w:val="000000" w:themeColor="text1"/>
          <w:sz w:val="18"/>
          <w:szCs w:val="18"/>
        </w:rPr>
        <w:t xml:space="preserve"> l’origine de cette information ;</w:t>
      </w:r>
    </w:p>
    <w:p w14:paraId="4ADBC153"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0C6898D" w14:textId="6EDF4B87"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n’utiliser les informations et documents délivrées par l’APHP qu’à sa demande exclusive et pour la finalité définie dans le présent marché ;</w:t>
      </w:r>
    </w:p>
    <w:p w14:paraId="07616186" w14:textId="77777777" w:rsidR="00AA08B1" w:rsidRPr="00DB593F" w:rsidRDefault="00AA08B1" w:rsidP="00DB593F">
      <w:pPr>
        <w:pStyle w:val="Paragraphedeliste"/>
        <w:ind w:left="567"/>
        <w:contextualSpacing w:val="0"/>
        <w:rPr>
          <w:rFonts w:ascii="Open Sans" w:hAnsi="Open Sans" w:cs="Open Sans"/>
          <w:color w:val="000000" w:themeColor="text1"/>
          <w:sz w:val="8"/>
          <w:szCs w:val="8"/>
        </w:rPr>
      </w:pPr>
    </w:p>
    <w:p w14:paraId="4C224445" w14:textId="3536D7C4"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divulguer à des tiers, à titre gratuit ou onéreux, et sous quelque forme que ce soit, les informations et documents communiqués par l’APHP à l’occasion de l’exécution du présent marché</w:t>
      </w:r>
      <w:r w:rsidR="00BE1D77" w:rsidRPr="003640AB">
        <w:rPr>
          <w:rFonts w:ascii="Open Sans" w:hAnsi="Open Sans" w:cs="Open Sans"/>
          <w:color w:val="000000" w:themeColor="text1"/>
          <w:sz w:val="18"/>
          <w:szCs w:val="18"/>
        </w:rPr>
        <w:t xml:space="preserve"> </w:t>
      </w:r>
      <w:r w:rsidRPr="003640AB">
        <w:rPr>
          <w:rFonts w:ascii="Open Sans" w:hAnsi="Open Sans" w:cs="Open Sans"/>
          <w:color w:val="000000" w:themeColor="text1"/>
          <w:sz w:val="18"/>
          <w:szCs w:val="18"/>
        </w:rPr>
        <w:t xml:space="preserve">; </w:t>
      </w:r>
    </w:p>
    <w:p w14:paraId="14004B0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F7E64F7" w14:textId="53FE06D3" w:rsidR="00AA08B1"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prendre toutes les mesures pour que lesdites données ne puissent être accessibles à d’autres personnes que les personnels attachés à leur traitement et à leur analyse. Ces derniers seront sensibilisés au </w:t>
      </w:r>
      <w:r w:rsidRPr="003640AB">
        <w:rPr>
          <w:rFonts w:ascii="Open Sans" w:hAnsi="Open Sans" w:cs="Open Sans"/>
          <w:color w:val="000000" w:themeColor="text1"/>
          <w:sz w:val="18"/>
          <w:szCs w:val="18"/>
        </w:rPr>
        <w:lastRenderedPageBreak/>
        <w:t xml:space="preserve">caractère stratégique des informations et documents confiés et liés au Titulaire par un engagement de confidentialité ; </w:t>
      </w:r>
    </w:p>
    <w:p w14:paraId="5358C19D"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12F402C5" w14:textId="06ACE19D"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ne pas procéder à des copies, utilisations ou diffusion de partie ou totalité d’un fichier et/ou d’une donnée détenus par l’AP-HP ou installés sur une configuration, sur un support, sur un élément ou sur un sous-ensemble d’une configuration détenus par celle-ci, à l’exception des copies, utilisations ou diffusion nécessaires à l’exécution d’une prestation prévue au présent marché, auquel cas l’accord de l’APHP est nécessaire ; </w:t>
      </w:r>
    </w:p>
    <w:p w14:paraId="3157F3F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02B4AB46" w14:textId="5238D79F" w:rsidR="00403B99"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sortir du lieu d’hébergement des configurations, des supports numériques ou d’autres, d’éléments ou sous-ensembles d’une configuration, d’un matériel, ou d’une documentation détenue par l’APHP sans l’autorisation préalable et écrite de celle-ci.</w:t>
      </w:r>
    </w:p>
    <w:p w14:paraId="69B4D496" w14:textId="77777777" w:rsidR="003640AB" w:rsidRPr="003640AB" w:rsidRDefault="003640AB" w:rsidP="003640AB">
      <w:pPr>
        <w:rPr>
          <w:rFonts w:ascii="Open Sans" w:hAnsi="Open Sans" w:cs="Open Sans"/>
          <w:color w:val="000000" w:themeColor="text1"/>
          <w:sz w:val="18"/>
          <w:szCs w:val="18"/>
        </w:rPr>
      </w:pPr>
    </w:p>
    <w:p w14:paraId="07F9341B" w14:textId="33FF868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tenu de conserver un caractère confidentiel à toute idée, tout concept, tout savoir-faire, ou toute technique, relatifs à l’activité de l’</w:t>
      </w:r>
      <w:proofErr w:type="spellStart"/>
      <w:r w:rsidRPr="003640AB">
        <w:rPr>
          <w:rFonts w:ascii="Open Sans" w:hAnsi="Open Sans" w:cs="Open Sans"/>
          <w:color w:val="auto"/>
          <w:sz w:val="18"/>
          <w:szCs w:val="18"/>
        </w:rPr>
        <w:t>AP-HP,qui</w:t>
      </w:r>
      <w:proofErr w:type="spellEnd"/>
      <w:r w:rsidRPr="003640AB">
        <w:rPr>
          <w:rFonts w:ascii="Open Sans" w:hAnsi="Open Sans" w:cs="Open Sans"/>
          <w:color w:val="auto"/>
          <w:sz w:val="18"/>
          <w:szCs w:val="18"/>
        </w:rPr>
        <w:t xml:space="preserve"> lui seront communiqués d’une manière directe ou indirecte. Le Titulaire assurera donc la protection de toute information et tout document qui lui auront été confiés, avec autant de soins que s’il s’agissait de données confidentielles relatives à ses propres affaires.</w:t>
      </w:r>
    </w:p>
    <w:p w14:paraId="6CD9DEEF" w14:textId="77777777" w:rsidR="003640AB" w:rsidRPr="003640AB" w:rsidRDefault="003640AB" w:rsidP="003640AB">
      <w:pPr>
        <w:rPr>
          <w:rFonts w:ascii="Open Sans" w:hAnsi="Open Sans" w:cs="Open Sans"/>
          <w:color w:val="auto"/>
          <w:sz w:val="18"/>
          <w:szCs w:val="18"/>
        </w:rPr>
      </w:pPr>
    </w:p>
    <w:p w14:paraId="11B95D62" w14:textId="7D4A5F7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responsable vis-à-vis de l’APHP de la perte de documents remis sous quelque forme que ce soit, ou de la divulgation volontaire ou involontaire d’informations communiquées. Le Titulaire s’engage, à ce titre, à aviser sans délai l’AP-HP de toute disparition, ainsi que de tout incident pouvant révéler un risque de violation des présentes obligations.</w:t>
      </w:r>
    </w:p>
    <w:p w14:paraId="293E81E6" w14:textId="77777777" w:rsidR="003640AB" w:rsidRPr="003640AB" w:rsidRDefault="003640AB" w:rsidP="003640AB">
      <w:pPr>
        <w:rPr>
          <w:rFonts w:ascii="Open Sans" w:hAnsi="Open Sans" w:cs="Open Sans"/>
          <w:color w:val="auto"/>
          <w:sz w:val="18"/>
          <w:szCs w:val="18"/>
        </w:rPr>
      </w:pPr>
    </w:p>
    <w:p w14:paraId="2E858ECE" w14:textId="77777777" w:rsidR="00957C13" w:rsidRPr="003640AB"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doit procéder à la destruction ou à la restitution de tous les fichiers manuels ou informatisés stockant les informations saisies, à l’échéance du présent marché, ou préalablement sur ordre de l’AP-HP.</w:t>
      </w:r>
    </w:p>
    <w:p w14:paraId="14FD7E4C" w14:textId="5E0A2AA5" w:rsidR="007F3636" w:rsidRDefault="007F3636" w:rsidP="003640AB">
      <w:pPr>
        <w:rPr>
          <w:rFonts w:ascii="Open Sans" w:hAnsi="Open Sans" w:cs="Open Sans"/>
          <w:color w:val="auto"/>
          <w:sz w:val="18"/>
          <w:szCs w:val="18"/>
        </w:rPr>
      </w:pPr>
      <w:r w:rsidRPr="003640AB">
        <w:rPr>
          <w:rFonts w:ascii="Open Sans" w:hAnsi="Open Sans" w:cs="Open Sans"/>
          <w:color w:val="auto"/>
          <w:sz w:val="18"/>
          <w:szCs w:val="18"/>
        </w:rPr>
        <w:t>Le Titulaire s’engage à faire respecter ces dispositions par ses personnels, préposés, mais également à tout opérateur économique intervenant pour le compte ou en partenariat avec le Titulaire (cotraitants et sous-traitants notamment).</w:t>
      </w:r>
    </w:p>
    <w:p w14:paraId="4712F0D4" w14:textId="77777777" w:rsidR="003640AB" w:rsidRPr="003640AB" w:rsidRDefault="003640AB" w:rsidP="003640AB">
      <w:pPr>
        <w:rPr>
          <w:rFonts w:ascii="Open Sans" w:hAnsi="Open Sans" w:cs="Open Sans"/>
          <w:color w:val="auto"/>
          <w:sz w:val="18"/>
          <w:szCs w:val="18"/>
        </w:rPr>
      </w:pPr>
    </w:p>
    <w:p w14:paraId="77125A20" w14:textId="3CADDCA4"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 xml:space="preserve">L’AP-HP se réserve le droit de procéder à toute vérification qui lui paraîtrait nécessaire pour constater le respect des obligations précitées par le </w:t>
      </w:r>
      <w:proofErr w:type="spellStart"/>
      <w:r w:rsidRPr="003640AB">
        <w:rPr>
          <w:rFonts w:ascii="Open Sans" w:hAnsi="Open Sans" w:cs="Open Sans"/>
          <w:color w:val="auto"/>
          <w:sz w:val="18"/>
          <w:szCs w:val="18"/>
        </w:rPr>
        <w:t>Titulaire.En</w:t>
      </w:r>
      <w:proofErr w:type="spellEnd"/>
      <w:r w:rsidRPr="003640AB">
        <w:rPr>
          <w:rFonts w:ascii="Open Sans" w:hAnsi="Open Sans" w:cs="Open Sans"/>
          <w:color w:val="auto"/>
          <w:sz w:val="18"/>
          <w:szCs w:val="18"/>
        </w:rPr>
        <w:t xml:space="preserve"> cas de non-respect des dispositions précitées, la responsabilité du Titulaire peut également être engagée sur la base des dispositions des articles 226-5 et 226-17 du code pénal. </w:t>
      </w:r>
    </w:p>
    <w:p w14:paraId="74F6616E" w14:textId="77777777" w:rsidR="003640AB" w:rsidRPr="003640AB" w:rsidRDefault="003640AB" w:rsidP="003640AB">
      <w:pPr>
        <w:rPr>
          <w:rFonts w:ascii="Open Sans" w:hAnsi="Open Sans" w:cs="Open Sans"/>
          <w:color w:val="auto"/>
          <w:sz w:val="18"/>
          <w:szCs w:val="18"/>
        </w:rPr>
      </w:pPr>
    </w:p>
    <w:p w14:paraId="4588D536" w14:textId="2B04C1B5"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se réserve le droit d’exiger du Titulaire du marché, sans versement d’aucune indemnité, le remplacement immédiat de tout agent salarié de l’entreprise qui aurait contrevenu aux règles précédemment édictées.</w:t>
      </w:r>
    </w:p>
    <w:p w14:paraId="70880342" w14:textId="77777777" w:rsidR="003640AB" w:rsidRPr="003640AB" w:rsidRDefault="003640AB" w:rsidP="003640AB">
      <w:pPr>
        <w:rPr>
          <w:rFonts w:ascii="Open Sans" w:hAnsi="Open Sans" w:cs="Open Sans"/>
          <w:color w:val="auto"/>
          <w:sz w:val="18"/>
          <w:szCs w:val="18"/>
        </w:rPr>
      </w:pPr>
    </w:p>
    <w:p w14:paraId="72755360" w14:textId="2CF1F842" w:rsidR="002012BF"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pourra prononcer la résiliation immédiate du marché, sans indemnité en faveur du Titulaire, en cas de violation du secret professionnel ou de non-respect des dispositions précitées</w:t>
      </w:r>
    </w:p>
    <w:p w14:paraId="3C59EEE7" w14:textId="77777777" w:rsidR="00403B99" w:rsidRPr="002B6FC0" w:rsidRDefault="00403B99" w:rsidP="00AA4B3C">
      <w:pPr>
        <w:pStyle w:val="Titre3"/>
        <w:spacing w:before="240" w:after="200"/>
        <w:rPr>
          <w:rFonts w:ascii="Open Sans" w:hAnsi="Open Sans" w:cs="Open Sans"/>
          <w:color w:val="000000" w:themeColor="text1"/>
        </w:rPr>
      </w:pPr>
      <w:bookmarkStart w:id="26" w:name="_Toc237529631"/>
      <w:r w:rsidRPr="002B6FC0">
        <w:rPr>
          <w:rFonts w:ascii="Open Sans" w:hAnsi="Open Sans" w:cs="Open Sans"/>
          <w:color w:val="000000" w:themeColor="text1"/>
        </w:rPr>
        <w:t>Accès aux établissements – Identification</w:t>
      </w:r>
      <w:bookmarkEnd w:id="26"/>
    </w:p>
    <w:p w14:paraId="5D8F9DBD" w14:textId="12FCDCF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Les personnels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ou ses préposés et sous – traitants ont accès </w:t>
      </w:r>
      <w:r w:rsidR="003640AB">
        <w:rPr>
          <w:rFonts w:ascii="Open Sans" w:hAnsi="Open Sans" w:cs="Open Sans"/>
          <w:color w:val="auto"/>
          <w:sz w:val="18"/>
          <w:szCs w:val="18"/>
        </w:rPr>
        <w:t xml:space="preserve">au chantier et </w:t>
      </w:r>
      <w:r w:rsidRPr="003640AB">
        <w:rPr>
          <w:rFonts w:ascii="Open Sans" w:hAnsi="Open Sans" w:cs="Open Sans"/>
          <w:color w:val="auto"/>
          <w:sz w:val="18"/>
          <w:szCs w:val="18"/>
        </w:rPr>
        <w:t xml:space="preserve">aux locaux </w:t>
      </w:r>
      <w:r w:rsidR="003640AB">
        <w:rPr>
          <w:rFonts w:ascii="Open Sans" w:hAnsi="Open Sans" w:cs="Open Sans"/>
          <w:color w:val="auto"/>
          <w:sz w:val="18"/>
          <w:szCs w:val="18"/>
        </w:rPr>
        <w:t xml:space="preserve">du site Hôpital Universitaire Saint-Ouen Grand Paris Nord </w:t>
      </w:r>
      <w:r w:rsidRPr="003640AB">
        <w:rPr>
          <w:rFonts w:ascii="Open Sans" w:hAnsi="Open Sans" w:cs="Open Sans"/>
          <w:color w:val="auto"/>
          <w:sz w:val="18"/>
          <w:szCs w:val="18"/>
        </w:rPr>
        <w:t>de l’AP-HP sous réserve du respect des consignes d'hygiène et de sécurité, et du règlement intérieur en vigueur.</w:t>
      </w:r>
    </w:p>
    <w:p w14:paraId="09B5E4D9" w14:textId="77777777" w:rsidR="003640AB" w:rsidRPr="003640AB" w:rsidRDefault="003640AB" w:rsidP="003640AB">
      <w:pPr>
        <w:rPr>
          <w:rFonts w:ascii="Open Sans" w:hAnsi="Open Sans" w:cs="Open Sans"/>
          <w:color w:val="auto"/>
          <w:sz w:val="18"/>
          <w:szCs w:val="18"/>
        </w:rPr>
      </w:pPr>
    </w:p>
    <w:p w14:paraId="69A337BF" w14:textId="221908A3"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Ils doivent être identifiés par tout moyen à disposition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et pouvoir justifier de leur appartenance à l'entreprise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du marché, ou être mandatés par elle.</w:t>
      </w:r>
    </w:p>
    <w:p w14:paraId="1AECB1C3" w14:textId="4203A4DF" w:rsidR="001F7C91" w:rsidRPr="001F7C91" w:rsidRDefault="001F7C91" w:rsidP="00AA4B3C">
      <w:pPr>
        <w:pStyle w:val="Titre3"/>
        <w:spacing w:before="240" w:after="200"/>
        <w:rPr>
          <w:rFonts w:ascii="Open Sans" w:hAnsi="Open Sans" w:cs="Open Sans"/>
          <w:color w:val="000000" w:themeColor="text1"/>
        </w:rPr>
      </w:pPr>
      <w:bookmarkStart w:id="27" w:name="_Toc237529632"/>
      <w:r w:rsidRPr="001F7C91">
        <w:rPr>
          <w:rFonts w:ascii="Open Sans" w:hAnsi="Open Sans" w:cs="Open Sans"/>
          <w:color w:val="000000" w:themeColor="text1"/>
        </w:rPr>
        <w:t>Nantissement</w:t>
      </w:r>
      <w:bookmarkEnd w:id="27"/>
    </w:p>
    <w:p w14:paraId="2AA7A918" w14:textId="56979002" w:rsidR="00002829"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marché peut faire l’o</w:t>
      </w:r>
      <w:r w:rsidR="004A6DA5" w:rsidRPr="002B6FC0">
        <w:rPr>
          <w:rFonts w:ascii="Open Sans" w:hAnsi="Open Sans" w:cs="Open Sans"/>
          <w:color w:val="000000" w:themeColor="text1"/>
          <w:sz w:val="18"/>
          <w:szCs w:val="18"/>
        </w:rPr>
        <w:t>bjet d’un nantissement prévu</w:t>
      </w:r>
      <w:r w:rsidR="00476293" w:rsidRPr="002B6FC0">
        <w:rPr>
          <w:rFonts w:ascii="Open Sans" w:hAnsi="Open Sans" w:cs="Open Sans"/>
          <w:color w:val="000000" w:themeColor="text1"/>
          <w:sz w:val="18"/>
          <w:szCs w:val="18"/>
        </w:rPr>
        <w:t xml:space="preserve"> </w:t>
      </w:r>
      <w:r w:rsidR="00594F40" w:rsidRPr="002B6FC0">
        <w:rPr>
          <w:rFonts w:ascii="Open Sans" w:hAnsi="Open Sans" w:cs="Open Sans"/>
          <w:color w:val="000000" w:themeColor="text1"/>
          <w:sz w:val="18"/>
          <w:szCs w:val="18"/>
        </w:rPr>
        <w:t xml:space="preserve">à l’article L2191-8 du </w:t>
      </w:r>
      <w:r w:rsidR="00D753AC" w:rsidRPr="002B6FC0">
        <w:rPr>
          <w:rFonts w:ascii="Open Sans" w:hAnsi="Open Sans" w:cs="Open Sans"/>
          <w:color w:val="000000" w:themeColor="text1"/>
          <w:sz w:val="18"/>
          <w:szCs w:val="18"/>
        </w:rPr>
        <w:t xml:space="preserve">Code </w:t>
      </w:r>
      <w:r w:rsidR="00594F40" w:rsidRPr="002B6FC0">
        <w:rPr>
          <w:rFonts w:ascii="Open Sans" w:hAnsi="Open Sans" w:cs="Open Sans"/>
          <w:color w:val="000000" w:themeColor="text1"/>
          <w:sz w:val="18"/>
          <w:szCs w:val="18"/>
        </w:rPr>
        <w:t>de la commande publique.</w:t>
      </w:r>
    </w:p>
    <w:p w14:paraId="0F7C8BEC" w14:textId="3717313D" w:rsidR="001F7C91" w:rsidRPr="001F7C91" w:rsidRDefault="001F7C91" w:rsidP="001F7C91">
      <w:pPr>
        <w:pStyle w:val="Titre3"/>
        <w:spacing w:after="200"/>
        <w:rPr>
          <w:rFonts w:ascii="Open Sans" w:hAnsi="Open Sans" w:cs="Open Sans"/>
          <w:color w:val="000000" w:themeColor="text1"/>
        </w:rPr>
      </w:pPr>
      <w:bookmarkStart w:id="28" w:name="_Toc237529633"/>
      <w:r w:rsidRPr="001F7C91">
        <w:rPr>
          <w:rFonts w:ascii="Open Sans" w:hAnsi="Open Sans" w:cs="Open Sans"/>
          <w:color w:val="000000" w:themeColor="text1"/>
        </w:rPr>
        <w:t>Retenue de Garantie</w:t>
      </w:r>
      <w:bookmarkEnd w:id="28"/>
    </w:p>
    <w:p w14:paraId="12EBB57D" w14:textId="68D85133" w:rsidR="001C196F"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 ou les </w:t>
      </w:r>
      <w:r w:rsidR="00AA08B1">
        <w:rPr>
          <w:rFonts w:ascii="Open Sans" w:hAnsi="Open Sans" w:cs="Open Sans"/>
          <w:color w:val="000000" w:themeColor="text1"/>
          <w:sz w:val="18"/>
          <w:szCs w:val="18"/>
        </w:rPr>
        <w:t>titulaires</w:t>
      </w:r>
      <w:r w:rsidRPr="002B6FC0">
        <w:rPr>
          <w:rFonts w:ascii="Open Sans" w:hAnsi="Open Sans" w:cs="Open Sans"/>
          <w:color w:val="000000" w:themeColor="text1"/>
          <w:sz w:val="18"/>
          <w:szCs w:val="18"/>
        </w:rPr>
        <w:t xml:space="preserve"> sont</w:t>
      </w:r>
      <w:r w:rsidR="00F87FE5" w:rsidRPr="002B6FC0">
        <w:rPr>
          <w:rFonts w:ascii="Open Sans" w:hAnsi="Open Sans" w:cs="Open Sans"/>
          <w:color w:val="000000" w:themeColor="text1"/>
          <w:sz w:val="18"/>
          <w:szCs w:val="18"/>
        </w:rPr>
        <w:t xml:space="preserve"> </w:t>
      </w:r>
      <w:r w:rsidRPr="002B6FC0">
        <w:rPr>
          <w:rFonts w:ascii="Open Sans" w:hAnsi="Open Sans" w:cs="Open Sans"/>
          <w:color w:val="000000" w:themeColor="text1"/>
          <w:sz w:val="18"/>
          <w:szCs w:val="18"/>
        </w:rPr>
        <w:t>dispensés du versement de la retenue de garantie.</w:t>
      </w:r>
      <w:r w:rsidR="00F87FE5" w:rsidRPr="002B6FC0">
        <w:rPr>
          <w:rFonts w:ascii="Open Sans" w:hAnsi="Open Sans" w:cs="Open Sans"/>
          <w:color w:val="000000" w:themeColor="text1"/>
          <w:sz w:val="18"/>
          <w:szCs w:val="18"/>
        </w:rPr>
        <w:t xml:space="preserve"> </w:t>
      </w:r>
    </w:p>
    <w:p w14:paraId="4DAFFEFF" w14:textId="111259A4" w:rsidR="00142A2F" w:rsidRDefault="00142A2F" w:rsidP="00934C76">
      <w:pPr>
        <w:spacing w:after="200"/>
        <w:rPr>
          <w:rFonts w:ascii="Open Sans" w:hAnsi="Open Sans" w:cs="Open Sans"/>
          <w:color w:val="000000" w:themeColor="text1"/>
          <w:sz w:val="18"/>
          <w:szCs w:val="18"/>
        </w:rPr>
      </w:pPr>
    </w:p>
    <w:p w14:paraId="080592FE" w14:textId="77777777" w:rsidR="00142A2F" w:rsidRPr="002B6FC0" w:rsidRDefault="00142A2F" w:rsidP="00934C76">
      <w:pPr>
        <w:spacing w:after="200"/>
        <w:rPr>
          <w:rFonts w:ascii="Open Sans" w:hAnsi="Open Sans" w:cs="Open Sans"/>
          <w:color w:val="000000" w:themeColor="text1"/>
          <w:sz w:val="18"/>
          <w:szCs w:val="18"/>
        </w:rPr>
      </w:pPr>
    </w:p>
    <w:p w14:paraId="6A1098E2" w14:textId="77777777" w:rsidR="006E1CFB" w:rsidRPr="002B6FC0" w:rsidRDefault="006E1CFB" w:rsidP="00002829">
      <w:pPr>
        <w:pStyle w:val="Titre3"/>
        <w:spacing w:after="200"/>
        <w:rPr>
          <w:rFonts w:ascii="Open Sans" w:hAnsi="Open Sans" w:cs="Open Sans"/>
          <w:color w:val="000000" w:themeColor="text1"/>
        </w:rPr>
      </w:pPr>
      <w:bookmarkStart w:id="29" w:name="_Toc237529634"/>
      <w:r w:rsidRPr="002B6FC0">
        <w:rPr>
          <w:rFonts w:ascii="Open Sans" w:hAnsi="Open Sans" w:cs="Open Sans"/>
          <w:color w:val="000000" w:themeColor="text1"/>
        </w:rPr>
        <w:lastRenderedPageBreak/>
        <w:t>Pénalités</w:t>
      </w:r>
      <w:bookmarkEnd w:id="29"/>
    </w:p>
    <w:p w14:paraId="2E014126" w14:textId="259EB1FE" w:rsidR="00C344B7" w:rsidRPr="002B6FC0" w:rsidRDefault="00AA08B1" w:rsidP="00C344B7">
      <w:pPr>
        <w:pStyle w:val="Normal2"/>
        <w:spacing w:after="200"/>
        <w:ind w:left="0"/>
        <w:rPr>
          <w:rFonts w:ascii="Open Sans" w:hAnsi="Open Sans" w:cs="Open Sans"/>
          <w:i w:val="0"/>
          <w:iCs/>
          <w:color w:val="000000" w:themeColor="text1"/>
          <w:sz w:val="18"/>
          <w:szCs w:val="18"/>
        </w:rPr>
      </w:pPr>
      <w:r>
        <w:rPr>
          <w:rFonts w:ascii="Open Sans" w:hAnsi="Open Sans" w:cs="Open Sans"/>
          <w:i w:val="0"/>
          <w:color w:val="000000" w:themeColor="text1"/>
          <w:sz w:val="18"/>
          <w:szCs w:val="18"/>
        </w:rPr>
        <w:t>Le</w:t>
      </w:r>
      <w:r w:rsidR="00C344B7" w:rsidRPr="002B6FC0">
        <w:rPr>
          <w:rFonts w:ascii="Open Sans" w:hAnsi="Open Sans" w:cs="Open Sans"/>
          <w:i w:val="0"/>
          <w:color w:val="000000" w:themeColor="text1"/>
          <w:sz w:val="18"/>
          <w:szCs w:val="18"/>
        </w:rPr>
        <w:t xml:space="preserve"> présent cahier des clauses particulières (CCP) déroge à l’article 14.1.3 du CCAG </w:t>
      </w:r>
      <w:r w:rsidR="00F43022" w:rsidRPr="002B6FC0">
        <w:rPr>
          <w:rFonts w:ascii="Open Sans" w:hAnsi="Open Sans" w:cs="Open Sans"/>
          <w:i w:val="0"/>
          <w:color w:val="000000" w:themeColor="text1"/>
          <w:sz w:val="18"/>
          <w:szCs w:val="18"/>
        </w:rPr>
        <w:t xml:space="preserve">FCS </w:t>
      </w:r>
      <w:r w:rsidR="00C344B7" w:rsidRPr="002B6FC0">
        <w:rPr>
          <w:rFonts w:ascii="Open Sans" w:hAnsi="Open Sans" w:cs="Open Sans"/>
          <w:i w:val="0"/>
          <w:color w:val="000000" w:themeColor="text1"/>
          <w:sz w:val="18"/>
          <w:szCs w:val="18"/>
        </w:rPr>
        <w:t>relatif à l’exonération des pénalités dont le montant total ne dépasse pas 1 000€ ».</w:t>
      </w:r>
    </w:p>
    <w:p w14:paraId="161B6DB5" w14:textId="348FC1BB" w:rsidR="008B4D16" w:rsidRPr="002B6FC0" w:rsidRDefault="008B4D16" w:rsidP="00934C76">
      <w:pPr>
        <w:pStyle w:val="Normal2"/>
        <w:spacing w:after="200"/>
        <w:ind w:left="0"/>
        <w:rPr>
          <w:rFonts w:ascii="Open Sans" w:hAnsi="Open Sans" w:cs="Open Sans"/>
          <w:i w:val="0"/>
          <w:iCs/>
          <w:color w:val="000000" w:themeColor="text1"/>
          <w:sz w:val="18"/>
          <w:szCs w:val="18"/>
        </w:rPr>
      </w:pPr>
      <w:r w:rsidRPr="002B6FC0">
        <w:rPr>
          <w:rFonts w:ascii="Open Sans" w:hAnsi="Open Sans" w:cs="Open Sans"/>
          <w:i w:val="0"/>
          <w:iCs/>
          <w:color w:val="000000" w:themeColor="text1"/>
          <w:sz w:val="18"/>
          <w:szCs w:val="18"/>
        </w:rPr>
        <w:t xml:space="preserve">En cas de non-respect des obligations définies à l’article </w:t>
      </w:r>
      <w:r w:rsidR="0019704B" w:rsidRPr="002B6FC0">
        <w:rPr>
          <w:rFonts w:ascii="Open Sans" w:hAnsi="Open Sans" w:cs="Open Sans"/>
          <w:i w:val="0"/>
          <w:iCs/>
          <w:color w:val="000000" w:themeColor="text1"/>
          <w:sz w:val="18"/>
          <w:szCs w:val="18"/>
        </w:rPr>
        <w:t xml:space="preserve">« Certificats » </w:t>
      </w:r>
      <w:r w:rsidRPr="002B6FC0">
        <w:rPr>
          <w:rFonts w:ascii="Open Sans" w:hAnsi="Open Sans" w:cs="Open Sans"/>
          <w:i w:val="0"/>
          <w:iCs/>
          <w:color w:val="000000" w:themeColor="text1"/>
          <w:sz w:val="18"/>
          <w:szCs w:val="18"/>
        </w:rPr>
        <w:t xml:space="preserve">du présent Cahier des clauses administratives particulières relatives à la production périodique des attestations fiscales et sociales, le </w:t>
      </w:r>
      <w:r w:rsidR="00957C13" w:rsidRPr="002B6FC0">
        <w:rPr>
          <w:rFonts w:ascii="Open Sans" w:hAnsi="Open Sans" w:cs="Open Sans"/>
          <w:i w:val="0"/>
          <w:iCs/>
          <w:color w:val="000000" w:themeColor="text1"/>
          <w:sz w:val="18"/>
          <w:szCs w:val="18"/>
        </w:rPr>
        <w:t>Titulaire</w:t>
      </w:r>
      <w:r w:rsidR="00875FCB">
        <w:rPr>
          <w:rFonts w:ascii="Open Sans" w:hAnsi="Open Sans" w:cs="Open Sans"/>
          <w:i w:val="0"/>
          <w:iCs/>
          <w:color w:val="000000" w:themeColor="text1"/>
          <w:sz w:val="18"/>
          <w:szCs w:val="18"/>
        </w:rPr>
        <w:t xml:space="preserve"> </w:t>
      </w:r>
      <w:r w:rsidRPr="002B6FC0">
        <w:rPr>
          <w:rFonts w:ascii="Open Sans" w:hAnsi="Open Sans" w:cs="Open Sans"/>
          <w:i w:val="0"/>
          <w:iCs/>
          <w:color w:val="000000" w:themeColor="text1"/>
          <w:sz w:val="18"/>
          <w:szCs w:val="18"/>
        </w:rPr>
        <w:t>pourra se voir appliquer des péna</w:t>
      </w:r>
      <w:r w:rsidR="00DA7B04" w:rsidRPr="002B6FC0">
        <w:rPr>
          <w:rFonts w:ascii="Open Sans" w:hAnsi="Open Sans" w:cs="Open Sans"/>
          <w:i w:val="0"/>
          <w:iCs/>
          <w:color w:val="000000" w:themeColor="text1"/>
          <w:sz w:val="18"/>
          <w:szCs w:val="18"/>
        </w:rPr>
        <w:t>lités</w:t>
      </w:r>
      <w:r w:rsidR="007F6BF0" w:rsidRPr="002B6FC0">
        <w:rPr>
          <w:rFonts w:ascii="Open Sans" w:hAnsi="Open Sans" w:cs="Open Sans"/>
          <w:i w:val="0"/>
          <w:iCs/>
          <w:color w:val="000000" w:themeColor="text1"/>
          <w:sz w:val="18"/>
          <w:szCs w:val="18"/>
        </w:rPr>
        <w:t xml:space="preserve"> de 500 euros par jour de retard</w:t>
      </w:r>
      <w:r w:rsidR="00DA7B04" w:rsidRPr="002B6FC0">
        <w:rPr>
          <w:rFonts w:ascii="Open Sans" w:hAnsi="Open Sans" w:cs="Open Sans"/>
          <w:i w:val="0"/>
          <w:iCs/>
          <w:color w:val="000000" w:themeColor="text1"/>
          <w:sz w:val="18"/>
          <w:szCs w:val="18"/>
        </w:rPr>
        <w:t>. Le montant total de celles-ci ne peut excéder 10 % du montant minimum du marché ni la somme de 45 000 euros.</w:t>
      </w:r>
    </w:p>
    <w:p w14:paraId="540B5520" w14:textId="29A65965"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non-respect des obligations relatives </w:t>
      </w:r>
      <w:r w:rsidR="00AA08B1">
        <w:rPr>
          <w:rFonts w:ascii="Open Sans" w:hAnsi="Open Sans" w:cs="Open Sans"/>
          <w:color w:val="000000" w:themeColor="text1"/>
          <w:sz w:val="18"/>
          <w:szCs w:val="18"/>
        </w:rPr>
        <w:t>à la clause sociale</w:t>
      </w:r>
      <w:r w:rsidRPr="002B6FC0">
        <w:rPr>
          <w:rFonts w:ascii="Open Sans" w:hAnsi="Open Sans" w:cs="Open Sans"/>
          <w:color w:val="000000" w:themeColor="text1"/>
          <w:sz w:val="18"/>
          <w:szCs w:val="18"/>
        </w:rPr>
        <w:t xml:space="preserve"> à réaliser, imputable à l’entreprise attributaire, il sera appliqué une pénalité de </w:t>
      </w:r>
      <w:r w:rsidRPr="002B6FC0">
        <w:rPr>
          <w:rFonts w:ascii="Open Sans" w:hAnsi="Open Sans" w:cs="Open Sans"/>
          <w:b/>
          <w:color w:val="000000" w:themeColor="text1"/>
          <w:sz w:val="18"/>
          <w:szCs w:val="18"/>
        </w:rPr>
        <w:t>50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heure d’insertion non réalisée.</w:t>
      </w:r>
    </w:p>
    <w:p w14:paraId="3D0ED5C4" w14:textId="616C9EB5" w:rsidR="00AA6962" w:rsidRPr="002B6FC0" w:rsidRDefault="00AA696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Dans le cas où le titulaire ne transmet pas ses données statistiques dans les délais prévus au paragraphe </w:t>
      </w:r>
      <w:r w:rsidR="0019704B" w:rsidRPr="002B6FC0">
        <w:rPr>
          <w:rFonts w:ascii="Open Sans" w:hAnsi="Open Sans" w:cs="Open Sans"/>
          <w:color w:val="000000" w:themeColor="text1"/>
          <w:sz w:val="18"/>
          <w:szCs w:val="18"/>
        </w:rPr>
        <w:t>« Statistiques »</w:t>
      </w:r>
      <w:r w:rsidRPr="002B6FC0">
        <w:rPr>
          <w:rFonts w:ascii="Open Sans" w:hAnsi="Open Sans" w:cs="Open Sans"/>
          <w:color w:val="000000" w:themeColor="text1"/>
          <w:sz w:val="18"/>
          <w:szCs w:val="18"/>
        </w:rPr>
        <w:t xml:space="preserve"> du présent document, ACHAT pourra émettre un titre de recette correspondant à une pénalité financière de </w:t>
      </w:r>
      <w:r w:rsidRPr="002B6FC0">
        <w:rPr>
          <w:rFonts w:ascii="Open Sans" w:hAnsi="Open Sans" w:cs="Open Sans"/>
          <w:b/>
          <w:color w:val="000000" w:themeColor="text1"/>
          <w:sz w:val="18"/>
          <w:szCs w:val="18"/>
        </w:rPr>
        <w:t>30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jour de retard à compter du 45eme jour suivant la fin du trimestre.</w:t>
      </w:r>
    </w:p>
    <w:p w14:paraId="5572ABFA" w14:textId="09E780FB"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 transmission des attestations et des justificatifs propres à permettre le contrôle de l’exécution des actions d’insertion,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subira une pénalité égale à </w:t>
      </w:r>
      <w:r w:rsidRPr="002B6FC0">
        <w:rPr>
          <w:rFonts w:ascii="Open Sans" w:hAnsi="Open Sans" w:cs="Open Sans"/>
          <w:b/>
          <w:color w:val="000000" w:themeColor="text1"/>
          <w:sz w:val="18"/>
          <w:szCs w:val="18"/>
        </w:rPr>
        <w:t>75 euros</w:t>
      </w:r>
      <w:r w:rsidRPr="002B6FC0">
        <w:rPr>
          <w:rFonts w:ascii="Open Sans" w:hAnsi="Open Sans" w:cs="Open Sans"/>
          <w:color w:val="000000" w:themeColor="text1"/>
          <w:sz w:val="18"/>
          <w:szCs w:val="18"/>
        </w:rPr>
        <w:t xml:space="preserve"> par jour de retard, à compter d</w:t>
      </w:r>
      <w:r w:rsidR="009E327A" w:rsidRPr="002B6FC0">
        <w:rPr>
          <w:rFonts w:ascii="Open Sans" w:hAnsi="Open Sans" w:cs="Open Sans"/>
          <w:color w:val="000000" w:themeColor="text1"/>
          <w:sz w:val="18"/>
          <w:szCs w:val="18"/>
        </w:rPr>
        <w:t xml:space="preserve">u délai révolu, </w:t>
      </w:r>
      <w:r w:rsidR="00F30B1F" w:rsidRPr="002B6FC0">
        <w:rPr>
          <w:rFonts w:ascii="Open Sans" w:hAnsi="Open Sans" w:cs="Open Sans"/>
          <w:color w:val="000000" w:themeColor="text1"/>
          <w:sz w:val="18"/>
          <w:szCs w:val="18"/>
        </w:rPr>
        <w:t xml:space="preserve">accordé par l’AP-HP </w:t>
      </w:r>
      <w:r w:rsidRPr="002B6FC0">
        <w:rPr>
          <w:rFonts w:ascii="Open Sans" w:hAnsi="Open Sans" w:cs="Open Sans"/>
          <w:color w:val="000000" w:themeColor="text1"/>
          <w:sz w:val="18"/>
          <w:szCs w:val="18"/>
        </w:rPr>
        <w:t>dans sa lettre de relance, pour transmettre les documents précités.</w:t>
      </w:r>
    </w:p>
    <w:p w14:paraId="15F30350" w14:textId="77777777" w:rsidR="006E1CFB" w:rsidRPr="002B6FC0" w:rsidRDefault="006E1CFB" w:rsidP="00934C76">
      <w:pPr>
        <w:pStyle w:val="Titre3"/>
        <w:spacing w:after="200"/>
        <w:rPr>
          <w:rFonts w:ascii="Open Sans" w:hAnsi="Open Sans" w:cs="Open Sans"/>
          <w:color w:val="000000" w:themeColor="text1"/>
        </w:rPr>
      </w:pPr>
      <w:bookmarkStart w:id="30" w:name="_Toc237529635"/>
      <w:r w:rsidRPr="002B6FC0">
        <w:rPr>
          <w:rFonts w:ascii="Open Sans" w:hAnsi="Open Sans" w:cs="Open Sans"/>
          <w:color w:val="000000" w:themeColor="text1"/>
        </w:rPr>
        <w:t>Résiliation</w:t>
      </w:r>
      <w:bookmarkEnd w:id="30"/>
    </w:p>
    <w:p w14:paraId="3ABB814C" w14:textId="77777777" w:rsidR="00A37A87" w:rsidRPr="00A37A87" w:rsidRDefault="00A37A87" w:rsidP="00A37A87">
      <w:pPr>
        <w:spacing w:after="200"/>
        <w:rPr>
          <w:rFonts w:ascii="Open Sans" w:hAnsi="Open Sans" w:cs="Open Sans"/>
          <w:color w:val="000000" w:themeColor="text1"/>
          <w:sz w:val="18"/>
          <w:szCs w:val="18"/>
        </w:rPr>
      </w:pPr>
      <w:r w:rsidRPr="00A37A87">
        <w:rPr>
          <w:rFonts w:ascii="Open Sans" w:hAnsi="Open Sans" w:cs="Open Sans"/>
          <w:color w:val="000000" w:themeColor="text1"/>
          <w:sz w:val="18"/>
          <w:szCs w:val="18"/>
        </w:rPr>
        <w:t xml:space="preserve">L’assureur et les </w:t>
      </w:r>
      <w:proofErr w:type="spellStart"/>
      <w:r w:rsidRPr="00A37A87">
        <w:rPr>
          <w:rFonts w:ascii="Open Sans" w:hAnsi="Open Sans" w:cs="Open Sans"/>
          <w:color w:val="000000" w:themeColor="text1"/>
          <w:sz w:val="18"/>
          <w:szCs w:val="18"/>
        </w:rPr>
        <w:t>coassureurs</w:t>
      </w:r>
      <w:proofErr w:type="spellEnd"/>
      <w:r w:rsidRPr="00A37A87">
        <w:rPr>
          <w:rFonts w:ascii="Open Sans" w:hAnsi="Open Sans" w:cs="Open Sans"/>
          <w:color w:val="000000" w:themeColor="text1"/>
          <w:sz w:val="18"/>
          <w:szCs w:val="18"/>
        </w:rPr>
        <w:t xml:space="preserve"> renoncent à leur faculté de résiliation pour sinistre. </w:t>
      </w:r>
    </w:p>
    <w:p w14:paraId="05310433" w14:textId="2053CEC2" w:rsidR="00DB593F" w:rsidRPr="00DB593F" w:rsidRDefault="001F7C91" w:rsidP="001F7C91">
      <w:pPr>
        <w:pStyle w:val="Titre3"/>
        <w:spacing w:after="200"/>
        <w:rPr>
          <w:rFonts w:ascii="Open Sans" w:hAnsi="Open Sans" w:cs="Open Sans"/>
          <w:color w:val="000000" w:themeColor="text1"/>
        </w:rPr>
      </w:pPr>
      <w:bookmarkStart w:id="31" w:name="_Toc237529636"/>
      <w:r w:rsidRPr="001F7C91">
        <w:rPr>
          <w:rFonts w:ascii="Open Sans" w:hAnsi="Open Sans" w:cs="Open Sans"/>
          <w:color w:val="000000" w:themeColor="text1"/>
        </w:rPr>
        <w:t>Litiges</w:t>
      </w:r>
      <w:bookmarkEnd w:id="31"/>
    </w:p>
    <w:p w14:paraId="47844C13" w14:textId="4CBC2935" w:rsidR="006E1CFB"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Il est formellement spécifié qu’en aucun</w:t>
      </w:r>
      <w:r w:rsidR="000D5D5D" w:rsidRPr="002B6FC0">
        <w:rPr>
          <w:rFonts w:ascii="Open Sans" w:hAnsi="Open Sans" w:cs="Open Sans"/>
          <w:color w:val="000000" w:themeColor="text1"/>
          <w:sz w:val="18"/>
          <w:szCs w:val="18"/>
        </w:rPr>
        <w:t xml:space="preserve"> cas ou pour quelque motif que c</w:t>
      </w:r>
      <w:r w:rsidRPr="002B6FC0">
        <w:rPr>
          <w:rFonts w:ascii="Open Sans" w:hAnsi="Open Sans" w:cs="Open Sans"/>
          <w:color w:val="000000" w:themeColor="text1"/>
          <w:sz w:val="18"/>
          <w:szCs w:val="18"/>
        </w:rPr>
        <w:t xml:space="preserve">e soit, les </w:t>
      </w:r>
      <w:r w:rsidR="0089656B" w:rsidRPr="002B6FC0">
        <w:rPr>
          <w:rFonts w:ascii="Open Sans" w:hAnsi="Open Sans" w:cs="Open Sans"/>
          <w:color w:val="000000" w:themeColor="text1"/>
          <w:sz w:val="18"/>
          <w:szCs w:val="18"/>
        </w:rPr>
        <w:t>contestations qui pourraient sur</w:t>
      </w:r>
      <w:r w:rsidRPr="002B6FC0">
        <w:rPr>
          <w:rFonts w:ascii="Open Sans" w:hAnsi="Open Sans" w:cs="Open Sans"/>
          <w:color w:val="000000" w:themeColor="text1"/>
          <w:sz w:val="18"/>
          <w:szCs w:val="18"/>
        </w:rPr>
        <w:t xml:space="preserve">venir entre l’Assistance Publique - Hôpitaux de Paris et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du marché ne peuvent être invoquées par ce dernier comme cause d’arrêt ou de suspension même momentanée des prestations à effectuer.</w:t>
      </w:r>
    </w:p>
    <w:p w14:paraId="4A6A2A86" w14:textId="2F11789C" w:rsidR="006E1CFB"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Les parties conviennent que le Tribunal Administratif de </w:t>
      </w:r>
      <w:r w:rsidR="001F7C91">
        <w:rPr>
          <w:rFonts w:ascii="Open Sans" w:hAnsi="Open Sans" w:cs="Open Sans"/>
          <w:color w:val="000000" w:themeColor="text1"/>
          <w:sz w:val="18"/>
          <w:szCs w:val="18"/>
        </w:rPr>
        <w:t>Montreuil</w:t>
      </w:r>
      <w:r w:rsidRPr="002B6FC0">
        <w:rPr>
          <w:rFonts w:ascii="Open Sans" w:hAnsi="Open Sans" w:cs="Open Sans"/>
          <w:color w:val="000000" w:themeColor="text1"/>
          <w:sz w:val="18"/>
          <w:szCs w:val="18"/>
        </w:rPr>
        <w:t xml:space="preserve"> est seul compétent en cas de litige, conformément à l’article R312-11 du </w:t>
      </w:r>
      <w:r w:rsidR="00D753AC" w:rsidRPr="002B6FC0">
        <w:rPr>
          <w:rFonts w:ascii="Open Sans" w:hAnsi="Open Sans" w:cs="Open Sans"/>
          <w:color w:val="000000" w:themeColor="text1"/>
          <w:sz w:val="18"/>
          <w:szCs w:val="18"/>
        </w:rPr>
        <w:t xml:space="preserve">Code </w:t>
      </w:r>
      <w:r w:rsidRPr="002B6FC0">
        <w:rPr>
          <w:rFonts w:ascii="Open Sans" w:hAnsi="Open Sans" w:cs="Open Sans"/>
          <w:color w:val="000000" w:themeColor="text1"/>
          <w:sz w:val="18"/>
          <w:szCs w:val="18"/>
        </w:rPr>
        <w:t>de Justice Administrative.</w:t>
      </w:r>
    </w:p>
    <w:p w14:paraId="488996F4" w14:textId="59EF545A" w:rsidR="0074048B" w:rsidRPr="00887068" w:rsidRDefault="00F7228B" w:rsidP="0074048B">
      <w:pPr>
        <w:pStyle w:val="Default"/>
        <w:jc w:val="both"/>
        <w:rPr>
          <w:rFonts w:ascii="Open Sans" w:eastAsia="Arial Unicode MS" w:hAnsi="Open Sans" w:cs="Open Sans"/>
          <w:b/>
          <w:bCs/>
          <w:color w:val="000000" w:themeColor="text1"/>
          <w:sz w:val="18"/>
          <w:szCs w:val="18"/>
        </w:rPr>
      </w:pPr>
      <w:bookmarkStart w:id="32" w:name="_Hlk187849436"/>
      <w:r w:rsidRPr="00887068">
        <w:rPr>
          <w:rFonts w:ascii="Open Sans" w:eastAsia="Arial Unicode MS" w:hAnsi="Open Sans" w:cs="Open Sans"/>
          <w:b/>
          <w:bCs/>
          <w:color w:val="000000" w:themeColor="text1"/>
          <w:sz w:val="18"/>
          <w:szCs w:val="18"/>
        </w:rPr>
        <w:t>Médiat</w:t>
      </w:r>
      <w:r w:rsidR="0074048B" w:rsidRPr="00887068">
        <w:rPr>
          <w:rFonts w:ascii="Open Sans" w:eastAsia="Arial Unicode MS" w:hAnsi="Open Sans" w:cs="Open Sans"/>
          <w:b/>
          <w:bCs/>
          <w:color w:val="000000" w:themeColor="text1"/>
          <w:sz w:val="18"/>
          <w:szCs w:val="18"/>
        </w:rPr>
        <w:t>ion</w:t>
      </w:r>
      <w:r w:rsidRPr="00887068">
        <w:rPr>
          <w:rFonts w:ascii="Open Sans" w:eastAsia="Arial Unicode MS" w:hAnsi="Open Sans" w:cs="Open Sans"/>
          <w:b/>
          <w:bCs/>
          <w:color w:val="000000" w:themeColor="text1"/>
          <w:sz w:val="18"/>
          <w:szCs w:val="18"/>
        </w:rPr>
        <w:t xml:space="preserve"> interne au Pôle d’Intérêt Commun ACHAT </w:t>
      </w:r>
      <w:r w:rsidR="0074048B" w:rsidRPr="00887068">
        <w:rPr>
          <w:rFonts w:ascii="Open Sans" w:eastAsia="Arial Unicode MS" w:hAnsi="Open Sans" w:cs="Open Sans"/>
          <w:b/>
          <w:bCs/>
          <w:color w:val="000000" w:themeColor="text1"/>
          <w:sz w:val="18"/>
          <w:szCs w:val="18"/>
        </w:rPr>
        <w:t>- Achats Centraux, Hôteliers, Alimentaires et Technologiques</w:t>
      </w:r>
    </w:p>
    <w:p w14:paraId="2F6C1451" w14:textId="77777777" w:rsidR="00F7228B" w:rsidRPr="00887068" w:rsidRDefault="00F7228B" w:rsidP="00F7228B">
      <w:pPr>
        <w:pStyle w:val="Default"/>
        <w:jc w:val="both"/>
        <w:rPr>
          <w:rFonts w:ascii="Open Sans" w:eastAsia="Arial Unicode MS" w:hAnsi="Open Sans" w:cs="Open Sans"/>
          <w:color w:val="000000" w:themeColor="text1"/>
          <w:sz w:val="18"/>
          <w:szCs w:val="18"/>
        </w:rPr>
      </w:pPr>
      <w:r w:rsidRPr="00887068">
        <w:rPr>
          <w:rFonts w:ascii="Open Sans" w:eastAsia="Arial Unicode MS" w:hAnsi="Open Sans" w:cs="Open Sans"/>
          <w:color w:val="000000" w:themeColor="text1"/>
          <w:sz w:val="18"/>
          <w:szCs w:val="18"/>
        </w:rPr>
        <w:t xml:space="preserve">Il est possible, pour les parties au présent contrat, de saisir le médiateur interne à ACHAT concernant les difficultés dans l’exécution du présent marché : </w:t>
      </w:r>
    </w:p>
    <w:p w14:paraId="18F751CC" w14:textId="176BA4D6" w:rsidR="00F7228B" w:rsidRDefault="000754B3" w:rsidP="002A5C07">
      <w:pPr>
        <w:rPr>
          <w:rStyle w:val="Lienhypertexte"/>
          <w:rFonts w:ascii="Open Sans" w:hAnsi="Open Sans" w:cs="Open Sans"/>
          <w:sz w:val="18"/>
          <w:szCs w:val="18"/>
        </w:rPr>
      </w:pPr>
      <w:r w:rsidRPr="000754B3">
        <w:rPr>
          <w:rFonts w:ascii="Open Sans" w:hAnsi="Open Sans" w:cs="Open Sans"/>
          <w:color w:val="000000" w:themeColor="text1"/>
          <w:sz w:val="18"/>
          <w:szCs w:val="18"/>
        </w:rPr>
        <w:t>E-mail</w:t>
      </w:r>
      <w:r w:rsidR="0074048B">
        <w:rPr>
          <w:rFonts w:ascii="Open Sans" w:hAnsi="Open Sans" w:cs="Open Sans"/>
        </w:rPr>
        <w:t xml:space="preserve"> : </w:t>
      </w:r>
      <w:hyperlink r:id="rId15" w:history="1">
        <w:r w:rsidR="002A5C07" w:rsidRPr="002A5C07">
          <w:rPr>
            <w:rStyle w:val="Lienhypertexte"/>
            <w:rFonts w:ascii="Open Sans" w:hAnsi="Open Sans" w:cs="Open Sans"/>
            <w:sz w:val="18"/>
            <w:szCs w:val="18"/>
          </w:rPr>
          <w:t>mediation.interne.aca@aphp.fr</w:t>
        </w:r>
      </w:hyperlink>
    </w:p>
    <w:bookmarkEnd w:id="32"/>
    <w:p w14:paraId="6309C6BD" w14:textId="15396E61" w:rsidR="00F7228B" w:rsidRDefault="00F7228B" w:rsidP="00F7228B">
      <w:pPr>
        <w:pStyle w:val="Default"/>
        <w:rPr>
          <w:rFonts w:ascii="Open Sans" w:eastAsia="Arial Unicode MS" w:hAnsi="Open Sans" w:cs="Open Sans"/>
          <w:color w:val="auto"/>
          <w:sz w:val="18"/>
          <w:szCs w:val="18"/>
        </w:rPr>
      </w:pPr>
    </w:p>
    <w:p w14:paraId="574C3855" w14:textId="2219FE74" w:rsidR="001F7C91" w:rsidRDefault="001F7C91" w:rsidP="00F7228B">
      <w:pPr>
        <w:pStyle w:val="Default"/>
        <w:rPr>
          <w:rFonts w:ascii="Open Sans" w:eastAsia="Arial Unicode MS" w:hAnsi="Open Sans" w:cs="Open Sans"/>
          <w:color w:val="auto"/>
          <w:sz w:val="18"/>
          <w:szCs w:val="18"/>
        </w:rPr>
      </w:pPr>
    </w:p>
    <w:p w14:paraId="5A437F5B" w14:textId="1D63F36A" w:rsidR="001F7C91" w:rsidRDefault="001F7C91">
      <w:pPr>
        <w:jc w:val="left"/>
        <w:rPr>
          <w:rFonts w:ascii="Open Sans" w:eastAsia="Arial Unicode MS" w:hAnsi="Open Sans" w:cs="Open Sans"/>
          <w:color w:val="auto"/>
          <w:sz w:val="18"/>
          <w:szCs w:val="18"/>
          <w:lang w:eastAsia="en-US"/>
        </w:rPr>
      </w:pPr>
      <w:r>
        <w:rPr>
          <w:rFonts w:ascii="Open Sans" w:eastAsia="Arial Unicode MS" w:hAnsi="Open Sans" w:cs="Open Sans"/>
          <w:color w:val="auto"/>
          <w:sz w:val="18"/>
          <w:szCs w:val="18"/>
        </w:rPr>
        <w:br w:type="page"/>
      </w:r>
    </w:p>
    <w:p w14:paraId="1E7DEC59" w14:textId="77777777" w:rsidR="001F7C91" w:rsidRDefault="001F7C91" w:rsidP="00F7228B">
      <w:pPr>
        <w:pStyle w:val="Default"/>
        <w:rPr>
          <w:rFonts w:ascii="Open Sans" w:eastAsia="Arial Unicode MS" w:hAnsi="Open Sans" w:cs="Open Sans"/>
          <w:color w:val="auto"/>
          <w:sz w:val="18"/>
          <w:szCs w:val="18"/>
        </w:rPr>
      </w:pPr>
    </w:p>
    <w:p w14:paraId="7D73ECEE" w14:textId="63A83941" w:rsidR="006E1CFB" w:rsidRPr="002B6FC0" w:rsidRDefault="001F7C91" w:rsidP="00316DF6">
      <w:pPr>
        <w:pStyle w:val="Titre2"/>
      </w:pPr>
      <w:bookmarkStart w:id="33" w:name="_Toc237529637"/>
      <w:r>
        <w:t>IDENTIFCATION DE L’OPERATION</w:t>
      </w:r>
      <w:bookmarkEnd w:id="33"/>
    </w:p>
    <w:p w14:paraId="048BBA90" w14:textId="77777777" w:rsidR="00142A2F" w:rsidRPr="002706C2" w:rsidRDefault="00142A2F" w:rsidP="00142A2F">
      <w:pPr>
        <w:pStyle w:val="Titre3"/>
        <w:spacing w:after="200"/>
        <w:rPr>
          <w:rFonts w:ascii="Open Sans" w:hAnsi="Open Sans" w:cs="Open Sans"/>
          <w:color w:val="000000" w:themeColor="text1"/>
        </w:rPr>
      </w:pPr>
      <w:bookmarkStart w:id="34" w:name="_Toc237423182"/>
      <w:bookmarkStart w:id="35" w:name="_Toc237529638"/>
      <w:bookmarkStart w:id="36" w:name="_Hlk237419180"/>
      <w:r w:rsidRPr="002706C2">
        <w:rPr>
          <w:rFonts w:ascii="Open Sans" w:hAnsi="Open Sans" w:cs="Open Sans"/>
          <w:color w:val="000000" w:themeColor="text1"/>
        </w:rPr>
        <w:t>Presentation du projet (voir annexe dossier technique)</w:t>
      </w:r>
      <w:bookmarkEnd w:id="34"/>
      <w:bookmarkEnd w:id="35"/>
      <w:r w:rsidRPr="002706C2">
        <w:rPr>
          <w:rFonts w:ascii="Open Sans" w:hAnsi="Open Sans" w:cs="Open Sans"/>
          <w:color w:val="000000" w:themeColor="text1"/>
        </w:rPr>
        <w:t xml:space="preserve"> </w:t>
      </w:r>
    </w:p>
    <w:p w14:paraId="7F80E1A7" w14:textId="77777777" w:rsidR="00142A2F" w:rsidRPr="000E7476" w:rsidRDefault="00142A2F" w:rsidP="00142A2F">
      <w:pPr>
        <w:spacing w:line="20" w:lineRule="atLeast"/>
        <w:rPr>
          <w:rFonts w:ascii="Open Sans" w:hAnsi="Open Sans" w:cs="Open Sans"/>
          <w:sz w:val="18"/>
          <w:szCs w:val="18"/>
        </w:rPr>
      </w:pPr>
      <w:r w:rsidRPr="000E7476">
        <w:rPr>
          <w:rFonts w:ascii="Open Sans" w:hAnsi="Open Sans" w:cs="Open Sans"/>
          <w:sz w:val="18"/>
          <w:szCs w:val="18"/>
        </w:rPr>
        <w:t xml:space="preserve">L’Hôpital </w:t>
      </w:r>
      <w:r w:rsidRPr="00B82585">
        <w:rPr>
          <w:rFonts w:ascii="Open Sans" w:hAnsi="Open Sans" w:cs="Open Sans"/>
          <w:bCs/>
        </w:rPr>
        <w:t>Universitaire</w:t>
      </w:r>
      <w:r w:rsidRPr="00D1699A">
        <w:rPr>
          <w:rFonts w:ascii="Open Sans" w:hAnsi="Open Sans" w:cs="Open Sans"/>
          <w:bCs/>
          <w:sz w:val="18"/>
          <w:szCs w:val="18"/>
        </w:rPr>
        <w:t xml:space="preserve"> </w:t>
      </w:r>
      <w:r w:rsidRPr="000E7476">
        <w:rPr>
          <w:rFonts w:ascii="Open Sans" w:hAnsi="Open Sans" w:cs="Open Sans"/>
          <w:sz w:val="18"/>
          <w:szCs w:val="18"/>
        </w:rPr>
        <w:t>Saint-Ouen Grand Paris Nord (HUSOGPN) est un projet de construction d’un nouvel hôpital regroupant les activités MCO des hôpitaux Bichat et Beaujon à Saint-Ouen-Sur- Seine.</w:t>
      </w:r>
    </w:p>
    <w:p w14:paraId="0E5DBE7B" w14:textId="77777777" w:rsidR="00142A2F" w:rsidRPr="00F24AF6" w:rsidRDefault="00142A2F" w:rsidP="00142A2F">
      <w:pPr>
        <w:widowControl w:val="0"/>
        <w:autoSpaceDE w:val="0"/>
        <w:autoSpaceDN w:val="0"/>
        <w:adjustRightInd w:val="0"/>
        <w:spacing w:line="20" w:lineRule="atLeast"/>
        <w:rPr>
          <w:rFonts w:ascii="Open Sans" w:hAnsi="Open Sans" w:cs="Open Sans"/>
          <w:sz w:val="16"/>
          <w:szCs w:val="16"/>
        </w:rPr>
      </w:pPr>
    </w:p>
    <w:p w14:paraId="3D611D12" w14:textId="77777777" w:rsidR="00142A2F" w:rsidRPr="004D3580" w:rsidRDefault="00142A2F" w:rsidP="00142A2F">
      <w:pPr>
        <w:spacing w:line="20" w:lineRule="atLeast"/>
        <w:rPr>
          <w:rFonts w:ascii="Open Sans" w:hAnsi="Open Sans" w:cs="Open Sans"/>
          <w:b/>
          <w:sz w:val="18"/>
          <w:szCs w:val="18"/>
          <w:u w:val="single"/>
        </w:rPr>
      </w:pPr>
      <w:r w:rsidRPr="004D3580">
        <w:rPr>
          <w:rFonts w:ascii="Open Sans" w:hAnsi="Open Sans" w:cs="Open Sans"/>
          <w:b/>
          <w:sz w:val="18"/>
          <w:szCs w:val="18"/>
          <w:u w:val="single"/>
        </w:rPr>
        <w:t xml:space="preserve">Campus CHUSOGPN </w:t>
      </w:r>
    </w:p>
    <w:p w14:paraId="51A511B5" w14:textId="77777777" w:rsidR="00142A2F" w:rsidRPr="000E7476" w:rsidRDefault="00142A2F" w:rsidP="00142A2F">
      <w:pPr>
        <w:spacing w:line="20" w:lineRule="atLeast"/>
        <w:rPr>
          <w:rFonts w:ascii="Open Sans" w:hAnsi="Open Sans" w:cs="Open Sans"/>
          <w:sz w:val="18"/>
          <w:szCs w:val="18"/>
        </w:rPr>
      </w:pPr>
      <w:r w:rsidRPr="000E7476">
        <w:rPr>
          <w:rFonts w:ascii="Open Sans" w:hAnsi="Open Sans" w:cs="Open Sans"/>
          <w:sz w:val="18"/>
          <w:szCs w:val="18"/>
        </w:rPr>
        <w:t xml:space="preserve">L’hôpital s’intègre dans le Campus Hôpital Universitaire Saint-Ouen Grand Paris Nord (CHUSOGPN) avec l’installation sur les parcelles au nord de la voie ferrée des activités d’enseignement et de recherche de la faculté de médecine de l’Université Paris Cité et sur la parcelle sud </w:t>
      </w:r>
      <w:r>
        <w:rPr>
          <w:rFonts w:ascii="Open Sans" w:hAnsi="Open Sans" w:cs="Open Sans"/>
          <w:sz w:val="18"/>
          <w:szCs w:val="18"/>
        </w:rPr>
        <w:t xml:space="preserve">l’installation </w:t>
      </w:r>
      <w:r w:rsidRPr="000E7476">
        <w:rPr>
          <w:rFonts w:ascii="Open Sans" w:hAnsi="Open Sans" w:cs="Open Sans"/>
          <w:sz w:val="18"/>
          <w:szCs w:val="18"/>
        </w:rPr>
        <w:t>de l’hôpital.</w:t>
      </w:r>
    </w:p>
    <w:p w14:paraId="44A5223F" w14:textId="77777777" w:rsidR="00142A2F" w:rsidRPr="000E7476" w:rsidRDefault="00142A2F" w:rsidP="00142A2F">
      <w:pPr>
        <w:spacing w:line="20" w:lineRule="atLeast"/>
        <w:rPr>
          <w:rFonts w:ascii="Open Sans" w:hAnsi="Open Sans" w:cs="Open Sans"/>
          <w:sz w:val="18"/>
          <w:szCs w:val="18"/>
        </w:rPr>
      </w:pPr>
      <w:r w:rsidRPr="000E7476">
        <w:rPr>
          <w:rFonts w:ascii="Open Sans" w:hAnsi="Open Sans" w:cs="Open Sans"/>
          <w:sz w:val="18"/>
          <w:szCs w:val="18"/>
        </w:rPr>
        <w:t>Les projets Hôpital (sous maîtrise d’ouvrage AP-HP) et universitaire (sous maîtrise d’ouvrage Université Paris Cité avec délégation à EPAURIF) sont indépendants hors liaison passerelle entre l’hôpital et le bâtiment recherche de l’Université.</w:t>
      </w:r>
    </w:p>
    <w:p w14:paraId="0E1FAE65" w14:textId="77777777" w:rsidR="00142A2F" w:rsidRPr="000E7476" w:rsidRDefault="00142A2F" w:rsidP="00142A2F">
      <w:pPr>
        <w:spacing w:line="20" w:lineRule="atLeast"/>
        <w:rPr>
          <w:rFonts w:ascii="Open Sans" w:hAnsi="Open Sans" w:cs="Open Sans"/>
          <w:sz w:val="18"/>
          <w:szCs w:val="18"/>
        </w:rPr>
      </w:pPr>
      <w:r w:rsidRPr="000E7476">
        <w:rPr>
          <w:rFonts w:ascii="Open Sans" w:hAnsi="Open Sans" w:cs="Open Sans"/>
          <w:sz w:val="18"/>
          <w:szCs w:val="18"/>
        </w:rPr>
        <w:t xml:space="preserve">Les travaux Université seront dans la même temporalité que ceux de l’hôpital. </w:t>
      </w:r>
    </w:p>
    <w:p w14:paraId="7072148E" w14:textId="77777777" w:rsidR="00142A2F" w:rsidRPr="000E7476" w:rsidRDefault="00142A2F" w:rsidP="00142A2F">
      <w:pPr>
        <w:spacing w:line="20" w:lineRule="atLeast"/>
        <w:rPr>
          <w:rStyle w:val="Lienhypertexte"/>
          <w:rFonts w:ascii="Open Sans" w:hAnsi="Open Sans" w:cs="Open Sans"/>
          <w:sz w:val="18"/>
          <w:szCs w:val="18"/>
        </w:rPr>
      </w:pPr>
      <w:r w:rsidRPr="000E7476">
        <w:rPr>
          <w:rFonts w:ascii="Open Sans" w:hAnsi="Open Sans" w:cs="Open Sans"/>
          <w:sz w:val="18"/>
          <w:szCs w:val="18"/>
        </w:rPr>
        <w:t xml:space="preserve">Les informations sur le campus sont disponibles sur le site </w:t>
      </w:r>
      <w:hyperlink r:id="rId16" w:history="1">
        <w:r w:rsidRPr="000E7476">
          <w:rPr>
            <w:rStyle w:val="Lienhypertexte"/>
            <w:rFonts w:ascii="Open Sans" w:hAnsi="Open Sans" w:cs="Open Sans"/>
            <w:sz w:val="18"/>
            <w:szCs w:val="18"/>
          </w:rPr>
          <w:t>https://campus-hopital-grandparis-nord.fr/</w:t>
        </w:r>
      </w:hyperlink>
    </w:p>
    <w:p w14:paraId="638B90CE" w14:textId="77777777" w:rsidR="00142A2F" w:rsidRPr="00F24AF6" w:rsidRDefault="00142A2F" w:rsidP="00142A2F">
      <w:pPr>
        <w:widowControl w:val="0"/>
        <w:autoSpaceDE w:val="0"/>
        <w:autoSpaceDN w:val="0"/>
        <w:adjustRightInd w:val="0"/>
        <w:spacing w:line="20" w:lineRule="atLeast"/>
        <w:rPr>
          <w:rFonts w:ascii="Open Sans" w:hAnsi="Open Sans" w:cs="Open Sans"/>
          <w:sz w:val="16"/>
          <w:szCs w:val="16"/>
        </w:rPr>
      </w:pPr>
    </w:p>
    <w:p w14:paraId="7C3F2D89" w14:textId="77777777" w:rsidR="00142A2F" w:rsidRDefault="00142A2F" w:rsidP="00142A2F">
      <w:pPr>
        <w:spacing w:line="20" w:lineRule="atLeast"/>
        <w:jc w:val="center"/>
        <w:rPr>
          <w:rFonts w:ascii="Open Sans" w:hAnsi="Open Sans" w:cs="Open Sans"/>
          <w:sz w:val="18"/>
          <w:szCs w:val="18"/>
        </w:rPr>
      </w:pPr>
      <w:r w:rsidRPr="000E7476">
        <w:rPr>
          <w:rFonts w:ascii="Open Sans" w:hAnsi="Open Sans" w:cs="Open Sans"/>
          <w:noProof/>
          <w:sz w:val="18"/>
          <w:szCs w:val="18"/>
        </w:rPr>
        <w:drawing>
          <wp:inline distT="0" distB="0" distL="0" distR="0" wp14:anchorId="10DEB3CD" wp14:editId="4AA47E7D">
            <wp:extent cx="3657600" cy="2508250"/>
            <wp:effectExtent l="0" t="0" r="0" b="6350"/>
            <wp:docPr id="12" name="Image 1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carte&#10;&#10;Description générée automatiquement"/>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657600" cy="2508250"/>
                    </a:xfrm>
                    <a:prstGeom prst="rect">
                      <a:avLst/>
                    </a:prstGeom>
                    <a:noFill/>
                    <a:ln>
                      <a:noFill/>
                    </a:ln>
                  </pic:spPr>
                </pic:pic>
              </a:graphicData>
            </a:graphic>
          </wp:inline>
        </w:drawing>
      </w:r>
    </w:p>
    <w:p w14:paraId="1EC2E6E5" w14:textId="77777777" w:rsidR="00142A2F" w:rsidRPr="000E7476" w:rsidRDefault="00142A2F" w:rsidP="00142A2F">
      <w:pPr>
        <w:spacing w:line="20" w:lineRule="atLeast"/>
        <w:jc w:val="center"/>
        <w:rPr>
          <w:rFonts w:ascii="Open Sans" w:hAnsi="Open Sans" w:cs="Open Sans"/>
          <w:sz w:val="18"/>
          <w:szCs w:val="18"/>
        </w:rPr>
      </w:pPr>
      <w:r w:rsidRPr="000E7476">
        <w:rPr>
          <w:rFonts w:ascii="Open Sans" w:hAnsi="Open Sans" w:cs="Open Sans"/>
          <w:sz w:val="18"/>
          <w:szCs w:val="18"/>
        </w:rPr>
        <w:t>Implantation campus</w:t>
      </w:r>
    </w:p>
    <w:p w14:paraId="36209810" w14:textId="77777777" w:rsidR="00142A2F" w:rsidRPr="00F24AF6" w:rsidRDefault="00142A2F" w:rsidP="00142A2F">
      <w:pPr>
        <w:widowControl w:val="0"/>
        <w:autoSpaceDE w:val="0"/>
        <w:autoSpaceDN w:val="0"/>
        <w:adjustRightInd w:val="0"/>
        <w:spacing w:line="20" w:lineRule="atLeast"/>
        <w:rPr>
          <w:rFonts w:ascii="Open Sans" w:hAnsi="Open Sans" w:cs="Open Sans"/>
          <w:sz w:val="16"/>
          <w:szCs w:val="16"/>
        </w:rPr>
      </w:pPr>
    </w:p>
    <w:p w14:paraId="1B76727C" w14:textId="77777777" w:rsidR="00142A2F" w:rsidRDefault="00142A2F" w:rsidP="00142A2F">
      <w:pPr>
        <w:spacing w:line="20" w:lineRule="atLeast"/>
        <w:rPr>
          <w:rFonts w:ascii="Open Sans" w:hAnsi="Open Sans" w:cs="Open Sans"/>
          <w:b/>
          <w:sz w:val="18"/>
          <w:szCs w:val="18"/>
          <w:u w:val="single"/>
        </w:rPr>
      </w:pPr>
      <w:r w:rsidRPr="00C167E7">
        <w:rPr>
          <w:rFonts w:ascii="Open Sans" w:hAnsi="Open Sans" w:cs="Open Sans"/>
          <w:b/>
          <w:sz w:val="18"/>
          <w:szCs w:val="18"/>
          <w:u w:val="single"/>
        </w:rPr>
        <w:t>Présentation de l’opération</w:t>
      </w:r>
      <w:r>
        <w:rPr>
          <w:rFonts w:ascii="Open Sans" w:hAnsi="Open Sans" w:cs="Open Sans"/>
          <w:b/>
          <w:sz w:val="18"/>
          <w:szCs w:val="18"/>
          <w:u w:val="single"/>
        </w:rPr>
        <w:t> :</w:t>
      </w:r>
    </w:p>
    <w:p w14:paraId="2A12BC44" w14:textId="77777777" w:rsidR="00142A2F" w:rsidRPr="000E7476" w:rsidRDefault="00142A2F" w:rsidP="00142A2F">
      <w:pPr>
        <w:spacing w:line="20" w:lineRule="atLeast"/>
        <w:rPr>
          <w:rFonts w:ascii="Open Sans" w:hAnsi="Open Sans" w:cs="Open Sans"/>
          <w:sz w:val="18"/>
          <w:szCs w:val="18"/>
        </w:rPr>
      </w:pPr>
      <w:r w:rsidRPr="000E7476">
        <w:rPr>
          <w:rFonts w:ascii="Open Sans" w:hAnsi="Open Sans" w:cs="Open Sans"/>
          <w:sz w:val="18"/>
          <w:szCs w:val="18"/>
        </w:rPr>
        <w:t>Le site retenu pour la construction de HUSOGPN est une parcelle, située au 23 avenue du capitaine Glarner d’environ 40 000 m2, bordée :</w:t>
      </w:r>
    </w:p>
    <w:p w14:paraId="2BCD3F8A" w14:textId="77777777" w:rsidR="00142A2F" w:rsidRPr="000E7476" w:rsidRDefault="00142A2F" w:rsidP="00142A2F">
      <w:pPr>
        <w:pStyle w:val="Paragraphedeliste"/>
        <w:numPr>
          <w:ilvl w:val="0"/>
          <w:numId w:val="14"/>
        </w:numPr>
        <w:spacing w:line="20" w:lineRule="atLeast"/>
        <w:rPr>
          <w:rFonts w:ascii="Open Sans" w:hAnsi="Open Sans" w:cs="Open Sans"/>
          <w:sz w:val="18"/>
          <w:szCs w:val="18"/>
        </w:rPr>
      </w:pPr>
      <w:r w:rsidRPr="000E7476">
        <w:rPr>
          <w:rFonts w:ascii="Open Sans" w:hAnsi="Open Sans" w:cs="Open Sans"/>
          <w:sz w:val="18"/>
          <w:szCs w:val="18"/>
        </w:rPr>
        <w:t>Au nord par une voie ferrée de frète</w:t>
      </w:r>
    </w:p>
    <w:p w14:paraId="7C0B6BDE" w14:textId="77777777" w:rsidR="00142A2F" w:rsidRPr="000E7476" w:rsidRDefault="00142A2F" w:rsidP="00142A2F">
      <w:pPr>
        <w:pStyle w:val="Paragraphedeliste"/>
        <w:numPr>
          <w:ilvl w:val="0"/>
          <w:numId w:val="14"/>
        </w:numPr>
        <w:spacing w:line="20" w:lineRule="atLeast"/>
        <w:rPr>
          <w:rFonts w:ascii="Open Sans" w:hAnsi="Open Sans" w:cs="Open Sans"/>
          <w:sz w:val="18"/>
          <w:szCs w:val="18"/>
        </w:rPr>
      </w:pPr>
      <w:r w:rsidRPr="000E7476">
        <w:rPr>
          <w:rFonts w:ascii="Open Sans" w:hAnsi="Open Sans" w:cs="Open Sans"/>
          <w:sz w:val="18"/>
          <w:szCs w:val="18"/>
        </w:rPr>
        <w:t>Au sud par la rue Farcot</w:t>
      </w:r>
    </w:p>
    <w:p w14:paraId="5D362293" w14:textId="77777777" w:rsidR="00142A2F" w:rsidRPr="000E7476" w:rsidRDefault="00142A2F" w:rsidP="00142A2F">
      <w:pPr>
        <w:pStyle w:val="Paragraphedeliste"/>
        <w:numPr>
          <w:ilvl w:val="0"/>
          <w:numId w:val="14"/>
        </w:numPr>
        <w:spacing w:line="20" w:lineRule="atLeast"/>
        <w:rPr>
          <w:rFonts w:ascii="Open Sans" w:hAnsi="Open Sans" w:cs="Open Sans"/>
          <w:sz w:val="18"/>
          <w:szCs w:val="18"/>
        </w:rPr>
      </w:pPr>
      <w:r w:rsidRPr="000E7476">
        <w:rPr>
          <w:rFonts w:ascii="Open Sans" w:hAnsi="Open Sans" w:cs="Open Sans"/>
          <w:sz w:val="18"/>
          <w:szCs w:val="18"/>
        </w:rPr>
        <w:t>A l’est par la rue Louis Blanc</w:t>
      </w:r>
    </w:p>
    <w:p w14:paraId="00D95638" w14:textId="77777777" w:rsidR="00142A2F" w:rsidRDefault="00142A2F" w:rsidP="00142A2F">
      <w:pPr>
        <w:pStyle w:val="Paragraphedeliste"/>
        <w:numPr>
          <w:ilvl w:val="0"/>
          <w:numId w:val="14"/>
        </w:numPr>
        <w:spacing w:line="20" w:lineRule="atLeast"/>
        <w:rPr>
          <w:rFonts w:ascii="Open Sans" w:hAnsi="Open Sans" w:cs="Open Sans"/>
          <w:sz w:val="18"/>
          <w:szCs w:val="18"/>
        </w:rPr>
      </w:pPr>
      <w:r w:rsidRPr="000E7476">
        <w:rPr>
          <w:rFonts w:ascii="Open Sans" w:hAnsi="Open Sans" w:cs="Open Sans"/>
          <w:sz w:val="18"/>
          <w:szCs w:val="18"/>
        </w:rPr>
        <w:t xml:space="preserve">A l’ouest par l’avenue du capitaine Glarner </w:t>
      </w:r>
    </w:p>
    <w:p w14:paraId="2CCD5CA4" w14:textId="77777777" w:rsidR="00142A2F" w:rsidRPr="000E7476" w:rsidRDefault="00142A2F" w:rsidP="00142A2F">
      <w:pPr>
        <w:pStyle w:val="Paragraphedeliste"/>
        <w:spacing w:line="20" w:lineRule="atLeast"/>
        <w:rPr>
          <w:rFonts w:ascii="Open Sans" w:hAnsi="Open Sans" w:cs="Open Sans"/>
          <w:sz w:val="18"/>
          <w:szCs w:val="18"/>
        </w:rPr>
      </w:pPr>
    </w:p>
    <w:p w14:paraId="5D67BF31" w14:textId="77777777" w:rsidR="00142A2F" w:rsidRDefault="00142A2F" w:rsidP="00142A2F">
      <w:pPr>
        <w:jc w:val="left"/>
        <w:rPr>
          <w:rFonts w:ascii="Open Sans" w:hAnsi="Open Sans" w:cs="Open Sans"/>
          <w:sz w:val="18"/>
          <w:szCs w:val="18"/>
        </w:rPr>
      </w:pPr>
      <w:r>
        <w:rPr>
          <w:rFonts w:ascii="Open Sans" w:hAnsi="Open Sans" w:cs="Open Sans"/>
          <w:sz w:val="18"/>
          <w:szCs w:val="18"/>
        </w:rPr>
        <w:br w:type="page"/>
      </w:r>
    </w:p>
    <w:p w14:paraId="701EA84E" w14:textId="77777777" w:rsidR="00142A2F" w:rsidRDefault="00142A2F" w:rsidP="00142A2F">
      <w:pPr>
        <w:spacing w:line="20" w:lineRule="atLeast"/>
        <w:rPr>
          <w:rFonts w:ascii="Open Sans" w:hAnsi="Open Sans" w:cs="Open Sans"/>
          <w:sz w:val="18"/>
          <w:szCs w:val="18"/>
        </w:rPr>
      </w:pPr>
      <w:r w:rsidRPr="00C167E7">
        <w:rPr>
          <w:rFonts w:ascii="Open Sans" w:hAnsi="Open Sans" w:cs="Open Sans"/>
          <w:sz w:val="18"/>
          <w:szCs w:val="18"/>
        </w:rPr>
        <w:lastRenderedPageBreak/>
        <w:t>Les chiffres clés du programme sont repris dans le visuel ci-dessous</w:t>
      </w:r>
      <w:r>
        <w:rPr>
          <w:rFonts w:ascii="Open Sans" w:hAnsi="Open Sans" w:cs="Open Sans"/>
          <w:sz w:val="18"/>
          <w:szCs w:val="18"/>
        </w:rPr>
        <w:t xml:space="preserve"> : </w:t>
      </w:r>
    </w:p>
    <w:p w14:paraId="632BB743" w14:textId="77777777" w:rsidR="00142A2F" w:rsidRDefault="00142A2F" w:rsidP="00142A2F">
      <w:pPr>
        <w:spacing w:line="20" w:lineRule="atLeast"/>
        <w:rPr>
          <w:rFonts w:ascii="Open Sans" w:hAnsi="Open Sans" w:cs="Open Sans"/>
          <w:sz w:val="18"/>
          <w:szCs w:val="18"/>
        </w:rPr>
      </w:pPr>
    </w:p>
    <w:p w14:paraId="1F227A28" w14:textId="77777777" w:rsidR="00142A2F" w:rsidRPr="00C167E7" w:rsidRDefault="00142A2F" w:rsidP="00142A2F">
      <w:pPr>
        <w:spacing w:line="20" w:lineRule="atLeast"/>
        <w:ind w:left="-426" w:right="-709"/>
        <w:rPr>
          <w:rFonts w:ascii="Open Sans" w:hAnsi="Open Sans" w:cs="Open Sans"/>
          <w:sz w:val="18"/>
          <w:szCs w:val="18"/>
        </w:rPr>
      </w:pPr>
      <w:r w:rsidRPr="00CE561D">
        <w:rPr>
          <w:rFonts w:ascii="Calibri" w:hAnsi="Calibri" w:cs="Calibri"/>
          <w:i/>
          <w:noProof/>
          <w:color w:val="002060"/>
          <w:sz w:val="18"/>
          <w:szCs w:val="18"/>
        </w:rPr>
        <w:drawing>
          <wp:inline distT="0" distB="0" distL="0" distR="0" wp14:anchorId="23955209" wp14:editId="3278E7D4">
            <wp:extent cx="3090443" cy="2179928"/>
            <wp:effectExtent l="0" t="0" r="0" b="0"/>
            <wp:docPr id="30"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r="717" b="49332"/>
                    <a:stretch/>
                  </pic:blipFill>
                  <pic:spPr bwMode="auto">
                    <a:xfrm>
                      <a:off x="0" y="0"/>
                      <a:ext cx="3104116" cy="2189573"/>
                    </a:xfrm>
                    <a:prstGeom prst="rect">
                      <a:avLst/>
                    </a:prstGeom>
                    <a:noFill/>
                    <a:ln>
                      <a:noFill/>
                    </a:ln>
                    <a:extLst>
                      <a:ext uri="{53640926-AAD7-44D8-BBD7-CCE9431645EC}">
                        <a14:shadowObscured xmlns:a14="http://schemas.microsoft.com/office/drawing/2010/main"/>
                      </a:ext>
                    </a:extLst>
                  </pic:spPr>
                </pic:pic>
              </a:graphicData>
            </a:graphic>
          </wp:inline>
        </w:drawing>
      </w:r>
      <w:r w:rsidRPr="00CE561D">
        <w:rPr>
          <w:rFonts w:ascii="Calibri" w:hAnsi="Calibri" w:cs="Calibri"/>
          <w:i/>
          <w:noProof/>
          <w:color w:val="002060"/>
          <w:sz w:val="18"/>
          <w:szCs w:val="18"/>
        </w:rPr>
        <w:drawing>
          <wp:inline distT="0" distB="0" distL="0" distR="0" wp14:anchorId="63629192" wp14:editId="57777AE9">
            <wp:extent cx="3199894" cy="2191219"/>
            <wp:effectExtent l="0" t="0" r="635" b="0"/>
            <wp:docPr id="8"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t="50455"/>
                    <a:stretch/>
                  </pic:blipFill>
                  <pic:spPr bwMode="auto">
                    <a:xfrm>
                      <a:off x="0" y="0"/>
                      <a:ext cx="3219829" cy="2204870"/>
                    </a:xfrm>
                    <a:prstGeom prst="rect">
                      <a:avLst/>
                    </a:prstGeom>
                    <a:noFill/>
                    <a:ln>
                      <a:noFill/>
                    </a:ln>
                    <a:extLst>
                      <a:ext uri="{53640926-AAD7-44D8-BBD7-CCE9431645EC}">
                        <a14:shadowObscured xmlns:a14="http://schemas.microsoft.com/office/drawing/2010/main"/>
                      </a:ext>
                    </a:extLst>
                  </pic:spPr>
                </pic:pic>
              </a:graphicData>
            </a:graphic>
          </wp:inline>
        </w:drawing>
      </w:r>
    </w:p>
    <w:p w14:paraId="08B50AD4" w14:textId="77777777" w:rsidR="00142A2F" w:rsidRPr="00C167E7" w:rsidRDefault="00142A2F" w:rsidP="00142A2F">
      <w:pPr>
        <w:spacing w:line="20" w:lineRule="atLeast"/>
        <w:rPr>
          <w:rFonts w:ascii="Open Sans" w:hAnsi="Open Sans" w:cs="Open Sans"/>
          <w:b/>
          <w:sz w:val="18"/>
          <w:szCs w:val="18"/>
          <w:u w:val="single"/>
        </w:rPr>
      </w:pPr>
    </w:p>
    <w:p w14:paraId="246D26A2" w14:textId="77777777" w:rsidR="00142A2F" w:rsidRPr="000E7476" w:rsidRDefault="00142A2F" w:rsidP="00142A2F">
      <w:pPr>
        <w:pStyle w:val="Paragraphedeliste"/>
        <w:numPr>
          <w:ilvl w:val="0"/>
          <w:numId w:val="15"/>
        </w:numPr>
        <w:spacing w:line="20" w:lineRule="atLeast"/>
        <w:rPr>
          <w:rFonts w:ascii="Open Sans" w:hAnsi="Open Sans" w:cs="Open Sans"/>
          <w:sz w:val="18"/>
          <w:szCs w:val="18"/>
        </w:rPr>
      </w:pPr>
      <w:r>
        <w:rPr>
          <w:rFonts w:ascii="Open Sans" w:hAnsi="Open Sans" w:cs="Open Sans"/>
          <w:sz w:val="18"/>
          <w:szCs w:val="18"/>
        </w:rPr>
        <w:t>Le</w:t>
      </w:r>
      <w:r w:rsidRPr="000E7476">
        <w:rPr>
          <w:rFonts w:ascii="Open Sans" w:hAnsi="Open Sans" w:cs="Open Sans"/>
          <w:sz w:val="18"/>
          <w:szCs w:val="18"/>
        </w:rPr>
        <w:t xml:space="preserve"> projet de construction de l’hôpital HUSOGPN intègre </w:t>
      </w:r>
      <w:r>
        <w:rPr>
          <w:rFonts w:ascii="Open Sans" w:hAnsi="Open Sans" w:cs="Open Sans"/>
          <w:sz w:val="18"/>
          <w:szCs w:val="18"/>
        </w:rPr>
        <w:t xml:space="preserve">environ </w:t>
      </w:r>
      <w:r w:rsidRPr="000E7476">
        <w:rPr>
          <w:rFonts w:ascii="Open Sans" w:hAnsi="Open Sans" w:cs="Open Sans"/>
          <w:sz w:val="18"/>
          <w:szCs w:val="18"/>
        </w:rPr>
        <w:t xml:space="preserve">130 000 m² SDO fonctionnels, 40 000 m² SDO circulations générales et locaux technique, 30 000 m² SDO de stationnement </w:t>
      </w:r>
      <w:r w:rsidRPr="000E7476">
        <w:rPr>
          <w:rFonts w:ascii="Open Sans" w:hAnsi="Open Sans" w:cs="Open Sans"/>
          <w:b/>
          <w:sz w:val="18"/>
          <w:szCs w:val="18"/>
        </w:rPr>
        <w:t>soit un total de 200 000 m² SDO environ.</w:t>
      </w:r>
    </w:p>
    <w:p w14:paraId="0A6FD080" w14:textId="77777777" w:rsidR="00142A2F" w:rsidRPr="003E4831" w:rsidRDefault="00142A2F" w:rsidP="00142A2F">
      <w:pPr>
        <w:pStyle w:val="Paragraphedeliste"/>
        <w:numPr>
          <w:ilvl w:val="0"/>
          <w:numId w:val="15"/>
        </w:numPr>
        <w:spacing w:line="20" w:lineRule="atLeast"/>
        <w:ind w:left="714" w:hanging="357"/>
        <w:rPr>
          <w:rFonts w:ascii="Open Sans" w:hAnsi="Open Sans" w:cs="Open Sans"/>
          <w:sz w:val="18"/>
          <w:szCs w:val="18"/>
        </w:rPr>
      </w:pPr>
      <w:r w:rsidRPr="000E7476">
        <w:rPr>
          <w:rFonts w:ascii="Open Sans" w:hAnsi="Open Sans" w:cs="Open Sans"/>
          <w:sz w:val="18"/>
          <w:szCs w:val="18"/>
        </w:rPr>
        <w:t>La MOE, composée de Renzo Piano Building Workshop (RPBW) architecte mandataire, Brunet Saunier (BSA), architecte associé, INGEROP, BET Tout Corps d’Etat et SLETEC, économiste de la construction, a été désignée en octobre 2021</w:t>
      </w:r>
    </w:p>
    <w:p w14:paraId="7E9E6216" w14:textId="77777777" w:rsidR="00142A2F" w:rsidRDefault="00142A2F" w:rsidP="00142A2F">
      <w:pPr>
        <w:pStyle w:val="Paragraphedeliste"/>
        <w:numPr>
          <w:ilvl w:val="0"/>
          <w:numId w:val="15"/>
        </w:numPr>
        <w:spacing w:line="20" w:lineRule="atLeast"/>
        <w:rPr>
          <w:rFonts w:ascii="Open Sans" w:hAnsi="Open Sans" w:cs="Open Sans"/>
          <w:sz w:val="18"/>
          <w:szCs w:val="18"/>
        </w:rPr>
      </w:pPr>
      <w:r w:rsidRPr="000E7476">
        <w:rPr>
          <w:rFonts w:ascii="Open Sans" w:hAnsi="Open Sans" w:cs="Open Sans"/>
          <w:sz w:val="18"/>
          <w:szCs w:val="18"/>
        </w:rPr>
        <w:t xml:space="preserve">La préparation du site : chantier de démolition/dépollution du site a été réalisée de novembre 2021 à mai 2024 (DOE en cours de vérification) avec une démolition complète de tous les bâtiments et un décaissement total du site sur 3m en moyenne (poche de pollution ponctuelle à 9m). </w:t>
      </w:r>
    </w:p>
    <w:p w14:paraId="1D25F0E9" w14:textId="77777777" w:rsidR="00142A2F" w:rsidRPr="000E7476" w:rsidRDefault="00142A2F" w:rsidP="00142A2F">
      <w:pPr>
        <w:pStyle w:val="Paragraphedeliste"/>
        <w:numPr>
          <w:ilvl w:val="0"/>
          <w:numId w:val="15"/>
        </w:numPr>
        <w:spacing w:line="20" w:lineRule="atLeast"/>
        <w:rPr>
          <w:rFonts w:ascii="Open Sans" w:hAnsi="Open Sans" w:cs="Open Sans"/>
          <w:sz w:val="18"/>
          <w:szCs w:val="18"/>
        </w:rPr>
      </w:pPr>
      <w:r>
        <w:rPr>
          <w:rFonts w:ascii="Open Sans" w:hAnsi="Open Sans" w:cs="Open Sans"/>
          <w:sz w:val="18"/>
          <w:szCs w:val="18"/>
        </w:rPr>
        <w:t>Le PC a été obtenu fin Septembre 2025</w:t>
      </w:r>
    </w:p>
    <w:p w14:paraId="5397EB7E" w14:textId="77777777" w:rsidR="00142A2F" w:rsidRDefault="00142A2F" w:rsidP="00142A2F">
      <w:pPr>
        <w:spacing w:before="240" w:line="20" w:lineRule="atLeast"/>
        <w:jc w:val="center"/>
        <w:rPr>
          <w:rFonts w:ascii="Open Sans" w:hAnsi="Open Sans" w:cs="Open Sans"/>
          <w:sz w:val="18"/>
          <w:szCs w:val="18"/>
        </w:rPr>
      </w:pPr>
      <w:r>
        <w:rPr>
          <w:rFonts w:ascii="Open Sans" w:hAnsi="Open Sans" w:cs="Open Sans"/>
          <w:noProof/>
          <w:sz w:val="18"/>
          <w:szCs w:val="18"/>
        </w:rPr>
        <mc:AlternateContent>
          <mc:Choice Requires="wps">
            <w:drawing>
              <wp:anchor distT="0" distB="0" distL="114300" distR="114300" simplePos="0" relativeHeight="251667456" behindDoc="0" locked="0" layoutInCell="1" allowOverlap="1" wp14:anchorId="1DB31390" wp14:editId="7A0249C2">
                <wp:simplePos x="0" y="0"/>
                <wp:positionH relativeFrom="column">
                  <wp:posOffset>1008518</wp:posOffset>
                </wp:positionH>
                <wp:positionV relativeFrom="paragraph">
                  <wp:posOffset>579148</wp:posOffset>
                </wp:positionV>
                <wp:extent cx="2107096" cy="1932167"/>
                <wp:effectExtent l="19050" t="19050" r="45720" b="30480"/>
                <wp:wrapNone/>
                <wp:docPr id="7" name="Rectangle : coins arrondis 7"/>
                <wp:cNvGraphicFramePr/>
                <a:graphic xmlns:a="http://schemas.openxmlformats.org/drawingml/2006/main">
                  <a:graphicData uri="http://schemas.microsoft.com/office/word/2010/wordprocessingShape">
                    <wps:wsp>
                      <wps:cNvSpPr/>
                      <wps:spPr>
                        <a:xfrm>
                          <a:off x="0" y="0"/>
                          <a:ext cx="2107096" cy="1932167"/>
                        </a:xfrm>
                        <a:prstGeom prst="roundRect">
                          <a:avLst/>
                        </a:prstGeom>
                        <a:noFill/>
                        <a:ln w="571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CAF40CE" id="Rectangle : coins arrondis 7" o:spid="_x0000_s1026" style="position:absolute;margin-left:79.4pt;margin-top:45.6pt;width:165.9pt;height:152.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" filled="f" strokecolor="#1f4d78 [1604]" strokeweight="4.5pt">
                <v:stroke joinstyle="miter"/>
              </v:roundrect>
            </w:pict>
          </mc:Fallback>
        </mc:AlternateContent>
      </w:r>
      <w:r w:rsidRPr="00587CBD">
        <w:rPr>
          <w:rFonts w:ascii="Open Sans" w:hAnsi="Open Sans" w:cs="Open Sans"/>
          <w:noProof/>
          <w:sz w:val="18"/>
          <w:szCs w:val="18"/>
        </w:rPr>
        <w:drawing>
          <wp:inline distT="0" distB="0" distL="0" distR="0" wp14:anchorId="44D49E7F" wp14:editId="2BD15444">
            <wp:extent cx="4995081" cy="265060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4999478" cy="2652941"/>
                    </a:xfrm>
                    <a:prstGeom prst="rect">
                      <a:avLst/>
                    </a:prstGeom>
                  </pic:spPr>
                </pic:pic>
              </a:graphicData>
            </a:graphic>
          </wp:inline>
        </w:drawing>
      </w:r>
    </w:p>
    <w:p w14:paraId="06321A3E" w14:textId="77777777" w:rsidR="00142A2F" w:rsidRDefault="00142A2F" w:rsidP="00142A2F">
      <w:pPr>
        <w:jc w:val="center"/>
        <w:rPr>
          <w:rFonts w:cs="Arial"/>
          <w:sz w:val="16"/>
          <w:szCs w:val="16"/>
        </w:rPr>
      </w:pPr>
      <w:r w:rsidRPr="00E76B88">
        <w:rPr>
          <w:rFonts w:cs="Arial"/>
          <w:sz w:val="16"/>
          <w:szCs w:val="16"/>
        </w:rPr>
        <w:t>Perspective projet regroupant le projet Hospitalier et l’université et Crous de l’autre côté des voies ferrées</w:t>
      </w:r>
    </w:p>
    <w:p w14:paraId="4B256B5A" w14:textId="77777777" w:rsidR="00142A2F" w:rsidRPr="00E76B88" w:rsidRDefault="00142A2F" w:rsidP="00142A2F">
      <w:pPr>
        <w:jc w:val="center"/>
        <w:rPr>
          <w:rFonts w:cs="Arial"/>
          <w:sz w:val="16"/>
          <w:szCs w:val="16"/>
        </w:rPr>
      </w:pPr>
    </w:p>
    <w:p w14:paraId="759449B0" w14:textId="77777777" w:rsidR="00142A2F" w:rsidRDefault="00142A2F" w:rsidP="00142A2F">
      <w:pPr>
        <w:jc w:val="center"/>
      </w:pPr>
      <w:r w:rsidRPr="00BF16CC">
        <w:rPr>
          <w:noProof/>
        </w:rPr>
        <w:lastRenderedPageBreak/>
        <w:drawing>
          <wp:inline distT="0" distB="0" distL="0" distR="0" wp14:anchorId="189A7E49" wp14:editId="79EB783A">
            <wp:extent cx="5022491" cy="3715935"/>
            <wp:effectExtent l="0" t="0" r="6985" b="0"/>
            <wp:docPr id="13" name="Image 4">
              <a:extLst xmlns:a="http://schemas.openxmlformats.org/drawingml/2006/main">
                <a:ext uri="{FF2B5EF4-FFF2-40B4-BE49-F238E27FC236}">
                  <a16:creationId xmlns:a16="http://schemas.microsoft.com/office/drawing/2014/main" id="{E99FF29B-134E-4F4C-A65F-586E9D3AEF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99FF29B-134E-4F4C-A65F-586E9D3AEF86}"/>
                        </a:ext>
                      </a:extLst>
                    </pic:cNvPr>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5041597" cy="3730071"/>
                    </a:xfrm>
                    <a:prstGeom prst="rect">
                      <a:avLst/>
                    </a:prstGeom>
                  </pic:spPr>
                </pic:pic>
              </a:graphicData>
            </a:graphic>
          </wp:inline>
        </w:drawing>
      </w:r>
    </w:p>
    <w:p w14:paraId="54DBD7A7" w14:textId="77777777" w:rsidR="00142A2F" w:rsidRDefault="00142A2F" w:rsidP="00142A2F">
      <w:pPr>
        <w:jc w:val="center"/>
        <w:rPr>
          <w:rFonts w:cs="Arial"/>
          <w:sz w:val="16"/>
          <w:szCs w:val="16"/>
        </w:rPr>
      </w:pPr>
      <w:r>
        <w:rPr>
          <w:rFonts w:cs="Arial"/>
          <w:sz w:val="16"/>
          <w:szCs w:val="16"/>
        </w:rPr>
        <w:t>Plan masse du projet</w:t>
      </w:r>
    </w:p>
    <w:p w14:paraId="10ECFF1B" w14:textId="77777777" w:rsidR="00142A2F" w:rsidRDefault="00142A2F" w:rsidP="00142A2F">
      <w:pPr>
        <w:jc w:val="center"/>
      </w:pPr>
    </w:p>
    <w:p w14:paraId="6F0375B0" w14:textId="77777777" w:rsidR="00142A2F" w:rsidRDefault="00142A2F" w:rsidP="00142A2F">
      <w:pPr>
        <w:rPr>
          <w:rFonts w:ascii="Open Sans" w:hAnsi="Open Sans" w:cs="Open Sans"/>
          <w:b/>
          <w:bCs/>
          <w:sz w:val="18"/>
          <w:szCs w:val="18"/>
          <w:u w:val="single"/>
        </w:rPr>
      </w:pPr>
    </w:p>
    <w:p w14:paraId="72C6DAB1" w14:textId="77777777" w:rsidR="00142A2F" w:rsidRPr="00BF16CC" w:rsidRDefault="00142A2F" w:rsidP="00142A2F">
      <w:pPr>
        <w:rPr>
          <w:rFonts w:ascii="Open Sans" w:hAnsi="Open Sans" w:cs="Open Sans"/>
          <w:b/>
          <w:bCs/>
          <w:sz w:val="18"/>
          <w:szCs w:val="18"/>
          <w:u w:val="single"/>
        </w:rPr>
      </w:pPr>
      <w:r w:rsidRPr="00BF16CC">
        <w:rPr>
          <w:rFonts w:ascii="Open Sans" w:hAnsi="Open Sans" w:cs="Open Sans"/>
          <w:b/>
          <w:bCs/>
          <w:sz w:val="18"/>
          <w:szCs w:val="18"/>
          <w:u w:val="single"/>
        </w:rPr>
        <w:t>Les travaux du projet HUSOGPN sont organisés en deux phases successives :</w:t>
      </w:r>
    </w:p>
    <w:p w14:paraId="51C0BEF2" w14:textId="77777777" w:rsidR="00142A2F" w:rsidRDefault="00142A2F" w:rsidP="00142A2F">
      <w:pPr>
        <w:rPr>
          <w:rFonts w:ascii="Open Sans" w:hAnsi="Open Sans" w:cs="Open Sans"/>
          <w:sz w:val="18"/>
          <w:szCs w:val="18"/>
        </w:rPr>
      </w:pPr>
      <w:r w:rsidRPr="00BF16CC">
        <w:rPr>
          <w:rFonts w:ascii="Open Sans" w:hAnsi="Open Sans" w:cs="Open Sans"/>
          <w:sz w:val="18"/>
          <w:szCs w:val="18"/>
        </w:rPr>
        <w:t>Des travaux anticipés </w:t>
      </w:r>
      <w:r>
        <w:rPr>
          <w:rFonts w:ascii="Open Sans" w:hAnsi="Open Sans" w:cs="Open Sans"/>
          <w:sz w:val="18"/>
          <w:szCs w:val="18"/>
        </w:rPr>
        <w:t>sont en cours</w:t>
      </w:r>
      <w:r w:rsidRPr="00BF16CC">
        <w:rPr>
          <w:rFonts w:ascii="Open Sans" w:hAnsi="Open Sans" w:cs="Open Sans"/>
          <w:sz w:val="18"/>
          <w:szCs w:val="18"/>
        </w:rPr>
        <w:t xml:space="preserve"> </w:t>
      </w:r>
      <w:r>
        <w:rPr>
          <w:rFonts w:ascii="Open Sans" w:hAnsi="Open Sans" w:cs="Open Sans"/>
          <w:sz w:val="18"/>
          <w:szCs w:val="18"/>
        </w:rPr>
        <w:t>avec la réalisation des parois moulées et terrassements au-dessus du niveau de nappe ainsi que la passerelle entre le projet hospitalier et universitaire qui devait être réalisé en amont pour des questions d’assemblage et de levage au-dessus des voies ferrées.</w:t>
      </w:r>
    </w:p>
    <w:p w14:paraId="6A6A337C" w14:textId="77777777" w:rsidR="00142A2F" w:rsidRDefault="00142A2F" w:rsidP="00142A2F">
      <w:pPr>
        <w:rPr>
          <w:rFonts w:ascii="Open Sans" w:hAnsi="Open Sans" w:cs="Open Sans"/>
          <w:sz w:val="18"/>
          <w:szCs w:val="18"/>
        </w:rPr>
      </w:pPr>
      <w:r>
        <w:rPr>
          <w:rFonts w:ascii="Open Sans" w:hAnsi="Open Sans" w:cs="Open Sans"/>
          <w:sz w:val="18"/>
          <w:szCs w:val="18"/>
        </w:rPr>
        <w:t xml:space="preserve">Les titulaires de ces deux lots sont : </w:t>
      </w:r>
    </w:p>
    <w:p w14:paraId="074619A1" w14:textId="77777777" w:rsidR="00142A2F" w:rsidRDefault="00142A2F" w:rsidP="00142A2F">
      <w:pPr>
        <w:pStyle w:val="Paragraphedeliste"/>
        <w:numPr>
          <w:ilvl w:val="0"/>
          <w:numId w:val="15"/>
        </w:numPr>
        <w:contextualSpacing w:val="0"/>
        <w:jc w:val="left"/>
        <w:rPr>
          <w:rFonts w:ascii="Open Sans" w:hAnsi="Open Sans" w:cs="Open Sans"/>
          <w:sz w:val="18"/>
          <w:szCs w:val="18"/>
        </w:rPr>
      </w:pPr>
      <w:r w:rsidRPr="00BA79CA">
        <w:rPr>
          <w:rFonts w:ascii="Open Sans" w:hAnsi="Open Sans" w:cs="Open Sans"/>
          <w:b/>
          <w:bCs/>
          <w:sz w:val="18"/>
          <w:szCs w:val="18"/>
        </w:rPr>
        <w:t>lot 01-A</w:t>
      </w:r>
      <w:r w:rsidRPr="00BA79CA">
        <w:rPr>
          <w:rFonts w:ascii="Open Sans" w:hAnsi="Open Sans" w:cs="Open Sans"/>
          <w:sz w:val="18"/>
          <w:szCs w:val="18"/>
        </w:rPr>
        <w:t xml:space="preserve"> paroi moulée terrassements porté par le groupement FAYAT FONDATIONS / SPIE BATIGNOLLES FONDATIONS / CAPOCCI</w:t>
      </w:r>
    </w:p>
    <w:p w14:paraId="2751F973" w14:textId="77777777" w:rsidR="00142A2F" w:rsidRDefault="00142A2F" w:rsidP="00142A2F">
      <w:pPr>
        <w:pStyle w:val="Paragraphedeliste"/>
        <w:rPr>
          <w:rFonts w:ascii="Open Sans" w:hAnsi="Open Sans" w:cs="Open Sans"/>
          <w:sz w:val="18"/>
          <w:szCs w:val="18"/>
        </w:rPr>
      </w:pPr>
      <w:r w:rsidRPr="00BA79CA">
        <w:rPr>
          <w:rFonts w:ascii="Open Sans" w:hAnsi="Open Sans" w:cs="Open Sans"/>
          <w:b/>
          <w:bCs/>
          <w:sz w:val="18"/>
          <w:szCs w:val="18"/>
        </w:rPr>
        <w:t>lot 02-B</w:t>
      </w:r>
      <w:r w:rsidRPr="00BA79CA">
        <w:rPr>
          <w:rFonts w:ascii="Open Sans" w:hAnsi="Open Sans" w:cs="Open Sans"/>
          <w:sz w:val="18"/>
          <w:szCs w:val="18"/>
        </w:rPr>
        <w:t xml:space="preserve"> passerelle porté par EIFFAGE METAL</w:t>
      </w:r>
    </w:p>
    <w:p w14:paraId="0EDB80F4" w14:textId="77777777" w:rsidR="00142A2F" w:rsidRDefault="00142A2F" w:rsidP="00142A2F">
      <w:pPr>
        <w:pStyle w:val="Paragraphedeliste"/>
        <w:rPr>
          <w:rFonts w:ascii="Open Sans" w:hAnsi="Open Sans" w:cs="Open Sans"/>
          <w:sz w:val="18"/>
          <w:szCs w:val="18"/>
        </w:rPr>
      </w:pPr>
      <w:r>
        <w:rPr>
          <w:rFonts w:ascii="Open Sans" w:hAnsi="Open Sans" w:cs="Open Sans"/>
          <w:sz w:val="18"/>
          <w:szCs w:val="18"/>
        </w:rPr>
        <w:t xml:space="preserve">Les lots 01A et 02B ont commencé leurs travaux respectivement en janvier 2026 et février 2026 et seront réceptionnés avec le lot 03-C </w:t>
      </w:r>
    </w:p>
    <w:p w14:paraId="15EED1C2" w14:textId="77777777" w:rsidR="00142A2F" w:rsidRPr="00BA79CA" w:rsidRDefault="00142A2F" w:rsidP="00142A2F">
      <w:pPr>
        <w:pStyle w:val="Paragraphedeliste"/>
        <w:numPr>
          <w:ilvl w:val="0"/>
          <w:numId w:val="15"/>
        </w:numPr>
        <w:contextualSpacing w:val="0"/>
        <w:jc w:val="left"/>
        <w:rPr>
          <w:rFonts w:ascii="Open Sans" w:hAnsi="Open Sans" w:cs="Open Sans"/>
          <w:sz w:val="18"/>
          <w:szCs w:val="18"/>
        </w:rPr>
      </w:pPr>
      <w:r w:rsidRPr="00BA79CA">
        <w:rPr>
          <w:rFonts w:ascii="Open Sans" w:hAnsi="Open Sans" w:cs="Open Sans"/>
          <w:b/>
          <w:bCs/>
          <w:sz w:val="18"/>
          <w:szCs w:val="18"/>
        </w:rPr>
        <w:t xml:space="preserve">Lot 03-C </w:t>
      </w:r>
      <w:r w:rsidRPr="00BA79CA">
        <w:rPr>
          <w:rFonts w:ascii="Open Sans" w:hAnsi="Open Sans" w:cs="Open Sans"/>
          <w:sz w:val="18"/>
          <w:szCs w:val="18"/>
        </w:rPr>
        <w:t>en cours de consultation avec notification prévisionnelle été 2027 pour 60 mois de chantier</w:t>
      </w:r>
    </w:p>
    <w:p w14:paraId="05F1AD09" w14:textId="77777777" w:rsidR="00142A2F" w:rsidRDefault="00142A2F" w:rsidP="00142A2F">
      <w:pPr>
        <w:rPr>
          <w:rFonts w:ascii="Open Sans" w:hAnsi="Open Sans" w:cs="Open Sans"/>
          <w:sz w:val="18"/>
          <w:szCs w:val="18"/>
        </w:rPr>
      </w:pPr>
    </w:p>
    <w:p w14:paraId="2387F688" w14:textId="77777777" w:rsidR="00142A2F" w:rsidRPr="00BA79CA" w:rsidRDefault="00142A2F" w:rsidP="00142A2F">
      <w:pPr>
        <w:rPr>
          <w:rFonts w:ascii="Open Sans" w:hAnsi="Open Sans" w:cs="Open Sans"/>
          <w:sz w:val="18"/>
          <w:szCs w:val="18"/>
        </w:rPr>
      </w:pPr>
    </w:p>
    <w:p w14:paraId="32098517" w14:textId="77777777" w:rsidR="00142A2F" w:rsidRPr="00DE502E" w:rsidRDefault="00142A2F" w:rsidP="00142A2F">
      <w:pPr>
        <w:rPr>
          <w:rFonts w:ascii="Open Sans" w:hAnsi="Open Sans" w:cs="Open Sans"/>
          <w:b/>
          <w:bCs/>
          <w:sz w:val="18"/>
          <w:szCs w:val="18"/>
          <w:u w:val="single"/>
        </w:rPr>
      </w:pPr>
      <w:r w:rsidRPr="00DE502E">
        <w:rPr>
          <w:rFonts w:ascii="Open Sans" w:hAnsi="Open Sans" w:cs="Open Sans"/>
          <w:b/>
          <w:bCs/>
          <w:sz w:val="18"/>
          <w:szCs w:val="18"/>
          <w:u w:val="single"/>
        </w:rPr>
        <w:t>Données projet architectural</w:t>
      </w:r>
    </w:p>
    <w:p w14:paraId="32439A59" w14:textId="77777777" w:rsidR="00142A2F" w:rsidRPr="00DE502E" w:rsidRDefault="00142A2F" w:rsidP="00142A2F">
      <w:pPr>
        <w:rPr>
          <w:rFonts w:ascii="Open Sans" w:hAnsi="Open Sans" w:cs="Open Sans"/>
          <w:sz w:val="18"/>
          <w:szCs w:val="18"/>
        </w:rPr>
      </w:pPr>
      <w:r w:rsidRPr="00DE502E">
        <w:rPr>
          <w:rFonts w:ascii="Open Sans" w:hAnsi="Open Sans" w:cs="Open Sans"/>
          <w:sz w:val="18"/>
          <w:szCs w:val="18"/>
        </w:rPr>
        <w:t>Le projet est composé autour de 13 patios et s’élève (hors hélistation) sur 5 niveaux, un 6</w:t>
      </w:r>
      <w:r w:rsidRPr="00DE502E">
        <w:rPr>
          <w:rFonts w:ascii="Open Sans" w:hAnsi="Open Sans" w:cs="Open Sans"/>
          <w:sz w:val="18"/>
          <w:szCs w:val="18"/>
          <w:vertAlign w:val="superscript"/>
        </w:rPr>
        <w:t>e</w:t>
      </w:r>
      <w:r w:rsidRPr="00DE502E">
        <w:rPr>
          <w:rFonts w:ascii="Open Sans" w:hAnsi="Open Sans" w:cs="Open Sans"/>
          <w:sz w:val="18"/>
          <w:szCs w:val="18"/>
        </w:rPr>
        <w:t xml:space="preserve"> niveau technique, et un septième autour d’un jardin planté. Il repose sur trois niveaux de sous-sol intégrant la logistique au niveau -1 puis deux niveaux majoritairement de parkings.</w:t>
      </w:r>
    </w:p>
    <w:p w14:paraId="66851DC0" w14:textId="77777777" w:rsidR="00142A2F" w:rsidRDefault="00142A2F" w:rsidP="00142A2F">
      <w:pPr>
        <w:pStyle w:val="Paragraphedeliste"/>
        <w:rPr>
          <w:rFonts w:ascii="Open Sans" w:hAnsi="Open Sans" w:cs="Open Sans"/>
          <w:sz w:val="18"/>
          <w:szCs w:val="18"/>
        </w:rPr>
      </w:pPr>
      <w:r w:rsidRPr="00587CBD">
        <w:rPr>
          <w:noProof/>
        </w:rPr>
        <w:lastRenderedPageBreak/>
        <w:drawing>
          <wp:anchor distT="0" distB="0" distL="114300" distR="114300" simplePos="0" relativeHeight="251668480" behindDoc="1" locked="0" layoutInCell="1" allowOverlap="1" wp14:anchorId="597054BC" wp14:editId="456FA051">
            <wp:simplePos x="0" y="0"/>
            <wp:positionH relativeFrom="margin">
              <wp:align>left</wp:align>
            </wp:positionH>
            <wp:positionV relativeFrom="paragraph">
              <wp:posOffset>149225</wp:posOffset>
            </wp:positionV>
            <wp:extent cx="3942080" cy="5726430"/>
            <wp:effectExtent l="0" t="0" r="1270" b="7620"/>
            <wp:wrapTight wrapText="bothSides">
              <wp:wrapPolygon edited="0">
                <wp:start x="0" y="0"/>
                <wp:lineTo x="0" y="21557"/>
                <wp:lineTo x="21503" y="21557"/>
                <wp:lineTo x="2150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3942080" cy="5726430"/>
                    </a:xfrm>
                    <a:prstGeom prst="rect">
                      <a:avLst/>
                    </a:prstGeom>
                  </pic:spPr>
                </pic:pic>
              </a:graphicData>
            </a:graphic>
            <wp14:sizeRelH relativeFrom="margin">
              <wp14:pctWidth>0</wp14:pctWidth>
            </wp14:sizeRelH>
            <wp14:sizeRelV relativeFrom="margin">
              <wp14:pctHeight>0</wp14:pctHeight>
            </wp14:sizeRelV>
          </wp:anchor>
        </w:drawing>
      </w:r>
    </w:p>
    <w:p w14:paraId="1BD32B4A" w14:textId="77777777" w:rsidR="00142A2F" w:rsidRDefault="00142A2F" w:rsidP="00142A2F">
      <w:pPr>
        <w:pStyle w:val="Paragraphedeliste"/>
        <w:ind w:left="0"/>
        <w:rPr>
          <w:rFonts w:ascii="Open Sans" w:hAnsi="Open Sans" w:cs="Open Sans"/>
          <w:sz w:val="18"/>
          <w:szCs w:val="18"/>
        </w:rPr>
      </w:pPr>
    </w:p>
    <w:p w14:paraId="0F3075E0"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b/>
          <w:bCs/>
          <w:sz w:val="18"/>
          <w:szCs w:val="18"/>
        </w:rPr>
        <w:t>Principales altimétries</w:t>
      </w:r>
      <w:r w:rsidRPr="00764D2F">
        <w:rPr>
          <w:rFonts w:ascii="Open Sans" w:hAnsi="Open Sans" w:cs="Open Sans"/>
          <w:sz w:val="18"/>
          <w:szCs w:val="18"/>
        </w:rPr>
        <w:t xml:space="preserve"> (niveau fini)</w:t>
      </w:r>
    </w:p>
    <w:p w14:paraId="5126CA7F"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R-3 21,68 NGF</w:t>
      </w:r>
    </w:p>
    <w:p w14:paraId="583345D9"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R-2 24.43 NGF</w:t>
      </w:r>
    </w:p>
    <w:p w14:paraId="420B7C42"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 Niveau R-1 </w:t>
      </w:r>
    </w:p>
    <w:p w14:paraId="4DAAD56E"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28.70 NGF </w:t>
      </w:r>
    </w:p>
    <w:p w14:paraId="2DCAB48E" w14:textId="77777777" w:rsidR="00142A2F" w:rsidRPr="00764D2F" w:rsidRDefault="00142A2F" w:rsidP="00142A2F">
      <w:pPr>
        <w:ind w:right="-426"/>
        <w:rPr>
          <w:rFonts w:ascii="Open Sans" w:hAnsi="Open Sans" w:cs="Open Sans"/>
          <w:sz w:val="18"/>
          <w:szCs w:val="18"/>
        </w:rPr>
      </w:pPr>
      <w:r w:rsidRPr="00764D2F">
        <w:rPr>
          <w:rFonts w:ascii="Open Sans" w:hAnsi="Open Sans" w:cs="Open Sans"/>
          <w:sz w:val="18"/>
          <w:szCs w:val="18"/>
        </w:rPr>
        <w:t>27,70 m NGF cours logistique</w:t>
      </w:r>
    </w:p>
    <w:p w14:paraId="547D6C06"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RDC 34.20 NGF</w:t>
      </w:r>
    </w:p>
    <w:p w14:paraId="6AA6041C"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R+1 38.50 NGF</w:t>
      </w:r>
    </w:p>
    <w:p w14:paraId="7DF88F85"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R+2 42.80 NGF</w:t>
      </w:r>
    </w:p>
    <w:p w14:paraId="43A6C9FE"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R+3 47.10 NGF</w:t>
      </w:r>
    </w:p>
    <w:p w14:paraId="709FE5AB"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R+4 51.10 NGF</w:t>
      </w:r>
    </w:p>
    <w:p w14:paraId="413ACD81"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R+5 55.10 NGF</w:t>
      </w:r>
    </w:p>
    <w:p w14:paraId="07EA956C"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 Niveau R+6 </w:t>
      </w:r>
    </w:p>
    <w:p w14:paraId="4D73159E"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59.23 NGF Dalle technique haute, </w:t>
      </w:r>
    </w:p>
    <w:p w14:paraId="53112FE1"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58,52 m NGF dalle basse</w:t>
      </w:r>
    </w:p>
    <w:p w14:paraId="5566B0A4"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 Niveau R+7 </w:t>
      </w:r>
    </w:p>
    <w:p w14:paraId="5F935E9D"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61.98 NGF Jardin/restaurant</w:t>
      </w:r>
    </w:p>
    <w:p w14:paraId="33A1A17A"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Variable sur les fosses végétalisées</w:t>
      </w:r>
    </w:p>
    <w:p w14:paraId="5ABC8323"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 Niveau R+8 </w:t>
      </w:r>
    </w:p>
    <w:p w14:paraId="0CFFA9F0"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xml:space="preserve">66.05 NGF Toiture Restaurant </w:t>
      </w:r>
    </w:p>
    <w:p w14:paraId="472715F5" w14:textId="77777777" w:rsidR="00142A2F" w:rsidRPr="00764D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66,45 m NGF sur équipements techniques</w:t>
      </w:r>
    </w:p>
    <w:p w14:paraId="41823391" w14:textId="77777777" w:rsidR="00142A2F" w:rsidRDefault="00142A2F" w:rsidP="00142A2F">
      <w:pPr>
        <w:pStyle w:val="Paragraphedeliste"/>
        <w:ind w:right="-426"/>
        <w:rPr>
          <w:rFonts w:ascii="Open Sans" w:hAnsi="Open Sans" w:cs="Open Sans"/>
          <w:sz w:val="18"/>
          <w:szCs w:val="18"/>
        </w:rPr>
      </w:pPr>
      <w:r w:rsidRPr="00764D2F">
        <w:rPr>
          <w:rFonts w:ascii="Open Sans" w:hAnsi="Open Sans" w:cs="Open Sans"/>
          <w:sz w:val="18"/>
          <w:szCs w:val="18"/>
        </w:rPr>
        <w:t>• Niveau R+9 73.70 NGF Hélistation 76.40 m NGF en toiture des édicules</w:t>
      </w:r>
    </w:p>
    <w:p w14:paraId="3B011A2B" w14:textId="77777777" w:rsidR="00142A2F" w:rsidRDefault="00142A2F" w:rsidP="00142A2F">
      <w:pPr>
        <w:pStyle w:val="Paragraphedeliste"/>
        <w:rPr>
          <w:rFonts w:ascii="Open Sans" w:hAnsi="Open Sans" w:cs="Open Sans"/>
          <w:sz w:val="18"/>
          <w:szCs w:val="18"/>
        </w:rPr>
      </w:pPr>
    </w:p>
    <w:p w14:paraId="3455AAF4" w14:textId="77777777" w:rsidR="00142A2F" w:rsidRDefault="00142A2F" w:rsidP="00142A2F">
      <w:pPr>
        <w:pStyle w:val="Paragraphedeliste"/>
        <w:rPr>
          <w:rFonts w:ascii="Open Sans" w:hAnsi="Open Sans" w:cs="Open Sans"/>
          <w:sz w:val="18"/>
          <w:szCs w:val="18"/>
        </w:rPr>
      </w:pPr>
    </w:p>
    <w:p w14:paraId="558C297B" w14:textId="77777777" w:rsidR="00142A2F" w:rsidRDefault="00142A2F" w:rsidP="00142A2F">
      <w:pPr>
        <w:pStyle w:val="Paragraphedeliste"/>
        <w:rPr>
          <w:rFonts w:ascii="Open Sans" w:hAnsi="Open Sans" w:cs="Open Sans"/>
          <w:sz w:val="18"/>
          <w:szCs w:val="18"/>
        </w:rPr>
      </w:pPr>
    </w:p>
    <w:p w14:paraId="7D204186" w14:textId="77777777" w:rsidR="00142A2F" w:rsidRDefault="00142A2F" w:rsidP="00142A2F">
      <w:pPr>
        <w:pStyle w:val="Paragraphedeliste"/>
        <w:rPr>
          <w:rFonts w:ascii="Open Sans" w:hAnsi="Open Sans" w:cs="Open Sans"/>
          <w:sz w:val="18"/>
          <w:szCs w:val="18"/>
        </w:rPr>
      </w:pPr>
    </w:p>
    <w:p w14:paraId="597EBCD2" w14:textId="77777777" w:rsidR="00142A2F" w:rsidRDefault="00142A2F" w:rsidP="00142A2F">
      <w:pPr>
        <w:pStyle w:val="Paragraphedeliste"/>
        <w:rPr>
          <w:rFonts w:ascii="Open Sans" w:hAnsi="Open Sans" w:cs="Open Sans"/>
          <w:sz w:val="18"/>
          <w:szCs w:val="18"/>
        </w:rPr>
      </w:pPr>
    </w:p>
    <w:p w14:paraId="6E1EA9F7" w14:textId="77777777" w:rsidR="00142A2F" w:rsidRDefault="00142A2F" w:rsidP="00142A2F">
      <w:pPr>
        <w:pStyle w:val="Paragraphedeliste"/>
        <w:rPr>
          <w:rFonts w:ascii="Open Sans" w:hAnsi="Open Sans" w:cs="Open Sans"/>
          <w:sz w:val="18"/>
          <w:szCs w:val="18"/>
        </w:rPr>
      </w:pPr>
    </w:p>
    <w:p w14:paraId="296B553A" w14:textId="77777777" w:rsidR="00142A2F" w:rsidRDefault="00142A2F" w:rsidP="00142A2F">
      <w:pPr>
        <w:pStyle w:val="Paragraphedeliste"/>
        <w:rPr>
          <w:rFonts w:ascii="Open Sans" w:hAnsi="Open Sans" w:cs="Open Sans"/>
          <w:sz w:val="18"/>
          <w:szCs w:val="18"/>
        </w:rPr>
      </w:pPr>
    </w:p>
    <w:p w14:paraId="15B16C83" w14:textId="77777777" w:rsidR="00142A2F" w:rsidRDefault="00142A2F" w:rsidP="00142A2F">
      <w:pPr>
        <w:pStyle w:val="Paragraphedeliste"/>
        <w:rPr>
          <w:rFonts w:ascii="Open Sans" w:hAnsi="Open Sans" w:cs="Open Sans"/>
          <w:sz w:val="18"/>
          <w:szCs w:val="18"/>
        </w:rPr>
      </w:pPr>
    </w:p>
    <w:p w14:paraId="529C9A48" w14:textId="77777777" w:rsidR="00142A2F" w:rsidRDefault="00142A2F" w:rsidP="00142A2F">
      <w:pPr>
        <w:pStyle w:val="Paragraphedeliste"/>
        <w:rPr>
          <w:rFonts w:ascii="Open Sans" w:hAnsi="Open Sans" w:cs="Open Sans"/>
          <w:sz w:val="18"/>
          <w:szCs w:val="18"/>
        </w:rPr>
      </w:pPr>
    </w:p>
    <w:p w14:paraId="5CD79AF0" w14:textId="77777777" w:rsidR="00142A2F" w:rsidRDefault="00142A2F" w:rsidP="00142A2F">
      <w:pPr>
        <w:pStyle w:val="Paragraphedeliste"/>
        <w:rPr>
          <w:rFonts w:ascii="Open Sans" w:hAnsi="Open Sans" w:cs="Open Sans"/>
          <w:sz w:val="18"/>
          <w:szCs w:val="18"/>
        </w:rPr>
      </w:pPr>
    </w:p>
    <w:p w14:paraId="565FE0C6" w14:textId="77777777" w:rsidR="00142A2F" w:rsidRDefault="00142A2F" w:rsidP="00142A2F">
      <w:pPr>
        <w:pStyle w:val="Paragraphedeliste"/>
        <w:rPr>
          <w:rFonts w:ascii="Open Sans" w:hAnsi="Open Sans" w:cs="Open Sans"/>
          <w:sz w:val="18"/>
          <w:szCs w:val="18"/>
        </w:rPr>
      </w:pPr>
    </w:p>
    <w:p w14:paraId="373EE1E0" w14:textId="77777777" w:rsidR="00142A2F" w:rsidRDefault="00142A2F" w:rsidP="00142A2F">
      <w:pPr>
        <w:pStyle w:val="Paragraphedeliste"/>
        <w:rPr>
          <w:rFonts w:ascii="Open Sans" w:hAnsi="Open Sans" w:cs="Open Sans"/>
          <w:sz w:val="18"/>
          <w:szCs w:val="18"/>
        </w:rPr>
      </w:pPr>
    </w:p>
    <w:p w14:paraId="026C0EF8" w14:textId="77777777" w:rsidR="00142A2F" w:rsidRDefault="00142A2F" w:rsidP="00142A2F">
      <w:pPr>
        <w:pStyle w:val="Paragraphedeliste"/>
        <w:rPr>
          <w:rFonts w:ascii="Open Sans" w:hAnsi="Open Sans" w:cs="Open Sans"/>
          <w:sz w:val="18"/>
          <w:szCs w:val="18"/>
        </w:rPr>
      </w:pPr>
    </w:p>
    <w:p w14:paraId="0686E33D" w14:textId="77777777" w:rsidR="00142A2F" w:rsidRPr="00E76B88" w:rsidRDefault="00142A2F" w:rsidP="00142A2F">
      <w:pPr>
        <w:pStyle w:val="Paragraphedeliste"/>
        <w:rPr>
          <w:rFonts w:ascii="Open Sans" w:hAnsi="Open Sans" w:cs="Open Sans"/>
          <w:sz w:val="18"/>
          <w:szCs w:val="18"/>
        </w:rPr>
      </w:pPr>
    </w:p>
    <w:p w14:paraId="7FC855E7" w14:textId="77777777" w:rsidR="00142A2F" w:rsidRDefault="00142A2F" w:rsidP="00142A2F">
      <w:pPr>
        <w:jc w:val="left"/>
        <w:rPr>
          <w:rFonts w:ascii="Open Sans" w:hAnsi="Open Sans" w:cs="Open Sans"/>
          <w:sz w:val="18"/>
          <w:szCs w:val="18"/>
        </w:rPr>
      </w:pPr>
      <w:r>
        <w:rPr>
          <w:rFonts w:ascii="Open Sans" w:hAnsi="Open Sans" w:cs="Open Sans"/>
          <w:sz w:val="18"/>
          <w:szCs w:val="18"/>
        </w:rPr>
        <w:br w:type="page"/>
      </w:r>
    </w:p>
    <w:p w14:paraId="43947F56" w14:textId="77777777" w:rsidR="00142A2F" w:rsidRDefault="00142A2F" w:rsidP="00142A2F">
      <w:pPr>
        <w:rPr>
          <w:rFonts w:ascii="Open Sans" w:hAnsi="Open Sans" w:cs="Open Sans"/>
          <w:sz w:val="18"/>
          <w:szCs w:val="18"/>
        </w:rPr>
      </w:pPr>
      <w:r>
        <w:rPr>
          <w:rFonts w:ascii="Open Sans" w:hAnsi="Open Sans" w:cs="Open Sans"/>
          <w:sz w:val="18"/>
          <w:szCs w:val="18"/>
        </w:rPr>
        <w:lastRenderedPageBreak/>
        <w:t>L</w:t>
      </w:r>
      <w:r w:rsidRPr="00E76B88">
        <w:rPr>
          <w:rFonts w:ascii="Open Sans" w:hAnsi="Open Sans" w:cs="Open Sans"/>
          <w:sz w:val="18"/>
          <w:szCs w:val="18"/>
        </w:rPr>
        <w:t xml:space="preserve">es élévations nord / est / sud et ouest sont présentées ci-dessous : </w:t>
      </w:r>
    </w:p>
    <w:p w14:paraId="32E5DDAF" w14:textId="77777777" w:rsidR="00142A2F" w:rsidRDefault="00142A2F" w:rsidP="00142A2F"/>
    <w:p w14:paraId="37765B71" w14:textId="77777777" w:rsidR="00142A2F" w:rsidRDefault="00142A2F" w:rsidP="00142A2F">
      <w:r w:rsidRPr="00BF16CC">
        <w:rPr>
          <w:noProof/>
        </w:rPr>
        <w:drawing>
          <wp:inline distT="0" distB="0" distL="0" distR="0" wp14:anchorId="66660C1B" wp14:editId="73EB48FD">
            <wp:extent cx="5683593" cy="4490114"/>
            <wp:effectExtent l="0" t="0" r="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91521" cy="4496378"/>
                    </a:xfrm>
                    <a:prstGeom prst="rect">
                      <a:avLst/>
                    </a:prstGeom>
                  </pic:spPr>
                </pic:pic>
              </a:graphicData>
            </a:graphic>
          </wp:inline>
        </w:drawing>
      </w:r>
    </w:p>
    <w:p w14:paraId="529EC1DC" w14:textId="77777777" w:rsidR="00142A2F" w:rsidRDefault="00142A2F" w:rsidP="00142A2F">
      <w:pPr>
        <w:rPr>
          <w:rFonts w:ascii="Open Sans" w:hAnsi="Open Sans" w:cs="Open Sans"/>
          <w:sz w:val="18"/>
          <w:szCs w:val="18"/>
        </w:rPr>
      </w:pPr>
    </w:p>
    <w:p w14:paraId="2F7FFD86" w14:textId="77777777" w:rsidR="00142A2F" w:rsidRDefault="00142A2F" w:rsidP="00142A2F">
      <w:pPr>
        <w:rPr>
          <w:rFonts w:ascii="Open Sans" w:hAnsi="Open Sans" w:cs="Open Sans"/>
          <w:sz w:val="18"/>
          <w:szCs w:val="18"/>
        </w:rPr>
      </w:pPr>
      <w:r>
        <w:rPr>
          <w:rFonts w:ascii="Open Sans" w:hAnsi="Open Sans" w:cs="Open Sans"/>
          <w:sz w:val="18"/>
          <w:szCs w:val="18"/>
        </w:rPr>
        <w:t xml:space="preserve">Les coupes transversales (nord / sud et est / ouest) sont présentées ci-dessous : </w:t>
      </w:r>
    </w:p>
    <w:p w14:paraId="5C2DC708" w14:textId="77777777" w:rsidR="00142A2F" w:rsidRDefault="00142A2F" w:rsidP="00142A2F">
      <w:r w:rsidRPr="00BF16CC">
        <w:rPr>
          <w:noProof/>
        </w:rPr>
        <w:drawing>
          <wp:inline distT="0" distB="0" distL="0" distR="0" wp14:anchorId="245C024E" wp14:editId="78D12F7E">
            <wp:extent cx="5760720" cy="267462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2674620"/>
                    </a:xfrm>
                    <a:prstGeom prst="rect">
                      <a:avLst/>
                    </a:prstGeom>
                  </pic:spPr>
                </pic:pic>
              </a:graphicData>
            </a:graphic>
          </wp:inline>
        </w:drawing>
      </w:r>
    </w:p>
    <w:p w14:paraId="63397770" w14:textId="77777777" w:rsidR="00142A2F" w:rsidRDefault="00142A2F" w:rsidP="00142A2F"/>
    <w:p w14:paraId="2EA7F55B" w14:textId="77777777" w:rsidR="00142A2F" w:rsidRDefault="00142A2F" w:rsidP="00142A2F">
      <w:pPr>
        <w:rPr>
          <w:rFonts w:ascii="Open Sans" w:hAnsi="Open Sans" w:cs="Open Sans"/>
          <w:b/>
          <w:bCs/>
          <w:sz w:val="18"/>
          <w:szCs w:val="18"/>
        </w:rPr>
      </w:pPr>
      <w:r w:rsidRPr="00E76B88">
        <w:rPr>
          <w:rFonts w:ascii="Open Sans" w:hAnsi="Open Sans" w:cs="Open Sans"/>
          <w:sz w:val="18"/>
          <w:szCs w:val="18"/>
        </w:rPr>
        <w:t xml:space="preserve">Le projet de construction atteint une enveloppe </w:t>
      </w:r>
      <w:r w:rsidRPr="00E76B88">
        <w:rPr>
          <w:rFonts w:ascii="Open Sans" w:hAnsi="Open Sans" w:cs="Open Sans"/>
          <w:b/>
          <w:bCs/>
          <w:sz w:val="18"/>
          <w:szCs w:val="18"/>
        </w:rPr>
        <w:t>supérieure à 850 M€ TTC.</w:t>
      </w:r>
    </w:p>
    <w:p w14:paraId="7C7C6C96" w14:textId="77777777" w:rsidR="00142A2F" w:rsidRDefault="00142A2F" w:rsidP="00142A2F">
      <w:pPr>
        <w:rPr>
          <w:rFonts w:ascii="Open Sans" w:hAnsi="Open Sans" w:cs="Open Sans"/>
          <w:b/>
          <w:bCs/>
          <w:sz w:val="18"/>
          <w:szCs w:val="18"/>
        </w:rPr>
      </w:pPr>
    </w:p>
    <w:p w14:paraId="4C5EB01A" w14:textId="77777777" w:rsidR="00142A2F" w:rsidRPr="00764D2F" w:rsidRDefault="00142A2F" w:rsidP="00142A2F">
      <w:pPr>
        <w:rPr>
          <w:rFonts w:ascii="Open Sans" w:hAnsi="Open Sans" w:cs="Open Sans"/>
          <w:b/>
          <w:bCs/>
          <w:sz w:val="18"/>
          <w:szCs w:val="18"/>
        </w:rPr>
      </w:pPr>
      <w:r w:rsidRPr="00764D2F">
        <w:rPr>
          <w:rFonts w:ascii="Open Sans" w:hAnsi="Open Sans" w:cs="Open Sans"/>
          <w:b/>
          <w:bCs/>
          <w:sz w:val="18"/>
          <w:szCs w:val="18"/>
        </w:rPr>
        <w:t xml:space="preserve">Principes structurels : </w:t>
      </w:r>
    </w:p>
    <w:p w14:paraId="6796A7CA" w14:textId="77777777" w:rsidR="00142A2F" w:rsidRPr="00777183" w:rsidRDefault="00142A2F" w:rsidP="00142A2F">
      <w:pPr>
        <w:pStyle w:val="Paragraphedeliste"/>
        <w:numPr>
          <w:ilvl w:val="0"/>
          <w:numId w:val="16"/>
        </w:numPr>
        <w:contextualSpacing w:val="0"/>
        <w:jc w:val="left"/>
        <w:rPr>
          <w:rFonts w:ascii="Open Sans" w:hAnsi="Open Sans" w:cs="Open Sans"/>
          <w:sz w:val="18"/>
          <w:szCs w:val="18"/>
        </w:rPr>
      </w:pPr>
      <w:r w:rsidRPr="00777183">
        <w:rPr>
          <w:rFonts w:ascii="Open Sans" w:hAnsi="Open Sans" w:cs="Open Sans"/>
          <w:sz w:val="18"/>
          <w:szCs w:val="18"/>
        </w:rPr>
        <w:t>Fondations profondes de type pieux forés</w:t>
      </w:r>
    </w:p>
    <w:p w14:paraId="19AFE220"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sidRPr="00777183">
        <w:rPr>
          <w:rFonts w:ascii="Open Sans" w:hAnsi="Open Sans" w:cs="Open Sans"/>
          <w:sz w:val="18"/>
          <w:szCs w:val="18"/>
        </w:rPr>
        <w:t>Infrastructure en béton armé avec une structure couramment de type poteaux-poutres et noyaux en voiles porteurs (cage d’ascenseur et d’escalier).</w:t>
      </w:r>
    </w:p>
    <w:p w14:paraId="0B82B521" w14:textId="77777777" w:rsidR="00142A2F" w:rsidRPr="00777183" w:rsidRDefault="00142A2F" w:rsidP="00142A2F">
      <w:pPr>
        <w:pStyle w:val="Paragraphedeliste"/>
        <w:rPr>
          <w:rFonts w:ascii="Open Sans" w:hAnsi="Open Sans" w:cs="Open Sans"/>
          <w:sz w:val="18"/>
          <w:szCs w:val="18"/>
        </w:rPr>
      </w:pPr>
    </w:p>
    <w:p w14:paraId="306B5BC0" w14:textId="77777777" w:rsidR="00142A2F" w:rsidRDefault="00142A2F" w:rsidP="00142A2F">
      <w:pPr>
        <w:rPr>
          <w:rFonts w:ascii="Open Sans" w:hAnsi="Open Sans" w:cs="Open Sans"/>
          <w:sz w:val="18"/>
          <w:szCs w:val="18"/>
        </w:rPr>
      </w:pPr>
      <w:r w:rsidRPr="00764D2F">
        <w:rPr>
          <w:rFonts w:ascii="Open Sans" w:hAnsi="Open Sans" w:cs="Open Sans"/>
          <w:sz w:val="18"/>
          <w:szCs w:val="18"/>
        </w:rPr>
        <w:lastRenderedPageBreak/>
        <w:t xml:space="preserve">Le système de planchers est réalisé suivant leur configuration structurelle et en fonction des contraintes fonctionnelles : </w:t>
      </w:r>
    </w:p>
    <w:p w14:paraId="21ABA766"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sidRPr="00764D2F">
        <w:rPr>
          <w:rFonts w:ascii="Open Sans" w:hAnsi="Open Sans" w:cs="Open Sans"/>
          <w:sz w:val="18"/>
          <w:szCs w:val="18"/>
        </w:rPr>
        <w:t>Du PH RDC au PH R+1, Dalle pleine en béton armé</w:t>
      </w:r>
    </w:p>
    <w:p w14:paraId="5141B4F1"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sidRPr="00764D2F">
        <w:rPr>
          <w:rFonts w:ascii="Open Sans" w:hAnsi="Open Sans" w:cs="Open Sans"/>
          <w:sz w:val="18"/>
          <w:szCs w:val="18"/>
        </w:rPr>
        <w:t xml:space="preserve">Du PH R+2 au PH R+6, Plancher-dalle reposant sur des poteaux sans chapiteau. </w:t>
      </w:r>
    </w:p>
    <w:p w14:paraId="60C766ED"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sidRPr="00764D2F">
        <w:rPr>
          <w:rFonts w:ascii="Open Sans" w:hAnsi="Open Sans" w:cs="Open Sans"/>
          <w:sz w:val="18"/>
          <w:szCs w:val="18"/>
        </w:rPr>
        <w:t xml:space="preserve">Au PH R+7, </w:t>
      </w:r>
    </w:p>
    <w:p w14:paraId="5CC48915" w14:textId="77777777" w:rsidR="00142A2F" w:rsidRPr="002332FE" w:rsidRDefault="00142A2F" w:rsidP="00142A2F">
      <w:pPr>
        <w:pStyle w:val="Paragraphedeliste"/>
        <w:numPr>
          <w:ilvl w:val="1"/>
          <w:numId w:val="16"/>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restaurant, Plancher bois type KLH 300 reposant sur des poutres bois en lamelle collée. </w:t>
      </w:r>
    </w:p>
    <w:p w14:paraId="7ACBD58C" w14:textId="77777777" w:rsidR="00142A2F" w:rsidRPr="002332FE" w:rsidRDefault="00142A2F" w:rsidP="00142A2F">
      <w:pPr>
        <w:pStyle w:val="Paragraphedeliste"/>
        <w:numPr>
          <w:ilvl w:val="1"/>
          <w:numId w:val="16"/>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locaux technique, plancher en béton armé. </w:t>
      </w:r>
    </w:p>
    <w:p w14:paraId="78CC63C7" w14:textId="77777777" w:rsidR="00142A2F" w:rsidRDefault="00142A2F" w:rsidP="00142A2F">
      <w:pPr>
        <w:rPr>
          <w:rFonts w:ascii="Open Sans" w:hAnsi="Open Sans" w:cs="Open Sans"/>
          <w:sz w:val="18"/>
          <w:szCs w:val="18"/>
        </w:rPr>
      </w:pPr>
    </w:p>
    <w:p w14:paraId="541CB650" w14:textId="77777777" w:rsidR="00142A2F" w:rsidRPr="00777183" w:rsidRDefault="00142A2F" w:rsidP="00142A2F">
      <w:pPr>
        <w:rPr>
          <w:rFonts w:ascii="Open Sans" w:hAnsi="Open Sans" w:cs="Open Sans"/>
          <w:b/>
          <w:bCs/>
          <w:sz w:val="18"/>
          <w:szCs w:val="18"/>
        </w:rPr>
      </w:pPr>
      <w:r w:rsidRPr="00777183">
        <w:rPr>
          <w:rFonts w:ascii="Open Sans" w:hAnsi="Open Sans" w:cs="Open Sans"/>
          <w:b/>
          <w:bCs/>
          <w:sz w:val="18"/>
          <w:szCs w:val="18"/>
        </w:rPr>
        <w:t>Organisation type des joints de dilatation</w:t>
      </w:r>
    </w:p>
    <w:p w14:paraId="6C8AFFFD" w14:textId="77777777" w:rsidR="00142A2F" w:rsidRDefault="00142A2F" w:rsidP="00142A2F">
      <w:pPr>
        <w:rPr>
          <w:rFonts w:ascii="Open Sans" w:hAnsi="Open Sans" w:cs="Open Sans"/>
          <w:sz w:val="18"/>
          <w:szCs w:val="18"/>
        </w:rPr>
      </w:pPr>
      <w:r w:rsidRPr="002332FE">
        <w:rPr>
          <w:rFonts w:ascii="Open Sans" w:hAnsi="Open Sans" w:cs="Open Sans"/>
          <w:noProof/>
          <w:sz w:val="18"/>
          <w:szCs w:val="18"/>
        </w:rPr>
        <w:drawing>
          <wp:inline distT="0" distB="0" distL="0" distR="0" wp14:anchorId="0C17E7B8" wp14:editId="0C212389">
            <wp:extent cx="5025225" cy="2590715"/>
            <wp:effectExtent l="0" t="0" r="4445"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40779" cy="2598734"/>
                    </a:xfrm>
                    <a:prstGeom prst="rect">
                      <a:avLst/>
                    </a:prstGeom>
                  </pic:spPr>
                </pic:pic>
              </a:graphicData>
            </a:graphic>
          </wp:inline>
        </w:drawing>
      </w:r>
    </w:p>
    <w:p w14:paraId="2B8B8073" w14:textId="77777777" w:rsidR="00142A2F" w:rsidRDefault="00142A2F" w:rsidP="00142A2F">
      <w:pPr>
        <w:rPr>
          <w:rFonts w:ascii="Open Sans" w:hAnsi="Open Sans" w:cs="Open Sans"/>
          <w:sz w:val="18"/>
          <w:szCs w:val="18"/>
        </w:rPr>
      </w:pPr>
    </w:p>
    <w:p w14:paraId="21CB9937" w14:textId="77777777" w:rsidR="00142A2F" w:rsidRPr="00BA79CA" w:rsidRDefault="00142A2F" w:rsidP="00142A2F">
      <w:pPr>
        <w:rPr>
          <w:rFonts w:ascii="Open Sans" w:hAnsi="Open Sans" w:cs="Open Sans"/>
          <w:b/>
          <w:bCs/>
          <w:sz w:val="18"/>
          <w:szCs w:val="18"/>
        </w:rPr>
      </w:pPr>
      <w:r w:rsidRPr="00BA79CA">
        <w:rPr>
          <w:rFonts w:ascii="Open Sans" w:hAnsi="Open Sans" w:cs="Open Sans"/>
          <w:b/>
          <w:bCs/>
          <w:sz w:val="18"/>
          <w:szCs w:val="18"/>
        </w:rPr>
        <w:t>Façades</w:t>
      </w:r>
    </w:p>
    <w:p w14:paraId="1AC199DD"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Pr>
          <w:rFonts w:ascii="Open Sans" w:hAnsi="Open Sans" w:cs="Open Sans"/>
          <w:sz w:val="18"/>
          <w:szCs w:val="18"/>
        </w:rPr>
        <w:t xml:space="preserve">R+1 à R+5 : Façades à Ossature Bois (FOB) sous </w:t>
      </w:r>
      <w:proofErr w:type="spellStart"/>
      <w:r>
        <w:rPr>
          <w:rFonts w:ascii="Open Sans" w:hAnsi="Open Sans" w:cs="Open Sans"/>
          <w:sz w:val="18"/>
          <w:szCs w:val="18"/>
        </w:rPr>
        <w:t>ATEx</w:t>
      </w:r>
      <w:proofErr w:type="spellEnd"/>
      <w:r>
        <w:rPr>
          <w:rFonts w:ascii="Open Sans" w:hAnsi="Open Sans" w:cs="Open Sans"/>
          <w:sz w:val="18"/>
          <w:szCs w:val="18"/>
        </w:rPr>
        <w:t xml:space="preserve"> avec bardage céramique </w:t>
      </w:r>
    </w:p>
    <w:p w14:paraId="103886AF"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Pr>
          <w:rFonts w:ascii="Open Sans" w:hAnsi="Open Sans" w:cs="Open Sans"/>
          <w:sz w:val="18"/>
          <w:szCs w:val="18"/>
        </w:rPr>
        <w:t>Patios et rez-de-chaussée : façades mur-rideau</w:t>
      </w:r>
    </w:p>
    <w:p w14:paraId="6393A16B" w14:textId="77777777" w:rsidR="00142A2F" w:rsidRDefault="00142A2F" w:rsidP="00142A2F">
      <w:pPr>
        <w:pStyle w:val="Paragraphedeliste"/>
        <w:numPr>
          <w:ilvl w:val="0"/>
          <w:numId w:val="16"/>
        </w:numPr>
        <w:contextualSpacing w:val="0"/>
        <w:jc w:val="left"/>
        <w:rPr>
          <w:rFonts w:ascii="Open Sans" w:hAnsi="Open Sans" w:cs="Open Sans"/>
          <w:sz w:val="18"/>
          <w:szCs w:val="18"/>
        </w:rPr>
      </w:pPr>
      <w:r>
        <w:rPr>
          <w:rFonts w:ascii="Open Sans" w:hAnsi="Open Sans" w:cs="Open Sans"/>
          <w:sz w:val="18"/>
          <w:szCs w:val="18"/>
        </w:rPr>
        <w:t>Autres façades : enduits</w:t>
      </w:r>
    </w:p>
    <w:p w14:paraId="31A46867" w14:textId="77777777" w:rsidR="00142A2F" w:rsidRPr="00777183" w:rsidRDefault="00142A2F" w:rsidP="00142A2F">
      <w:pPr>
        <w:rPr>
          <w:rFonts w:ascii="Open Sans" w:hAnsi="Open Sans" w:cs="Open Sans"/>
          <w:sz w:val="18"/>
          <w:szCs w:val="18"/>
        </w:rPr>
      </w:pPr>
      <w:r>
        <w:rPr>
          <w:rFonts w:ascii="Open Sans" w:hAnsi="Open Sans" w:cs="Open Sans"/>
          <w:sz w:val="18"/>
          <w:szCs w:val="18"/>
        </w:rPr>
        <w:t>Les principes de préfabrication seront envisagés sur les lots Façades à Ossature Bois</w:t>
      </w:r>
      <w:r w:rsidRPr="00777183">
        <w:rPr>
          <w:noProof/>
        </w:rPr>
        <w:t xml:space="preserve"> </w:t>
      </w:r>
    </w:p>
    <w:p w14:paraId="0B460BCA" w14:textId="77777777" w:rsidR="00142A2F" w:rsidRDefault="00142A2F" w:rsidP="00142A2F">
      <w:pPr>
        <w:rPr>
          <w:rFonts w:ascii="Open Sans" w:hAnsi="Open Sans" w:cs="Open Sans"/>
          <w:sz w:val="18"/>
          <w:szCs w:val="18"/>
        </w:rPr>
      </w:pPr>
    </w:p>
    <w:p w14:paraId="193F0C18" w14:textId="77777777" w:rsidR="00142A2F" w:rsidRPr="00BA79CA" w:rsidRDefault="00142A2F" w:rsidP="00142A2F">
      <w:pPr>
        <w:rPr>
          <w:rFonts w:ascii="Open Sans" w:hAnsi="Open Sans" w:cs="Open Sans"/>
          <w:b/>
          <w:bCs/>
          <w:sz w:val="18"/>
          <w:szCs w:val="18"/>
        </w:rPr>
      </w:pPr>
      <w:r w:rsidRPr="00BA79CA">
        <w:rPr>
          <w:rFonts w:ascii="Open Sans" w:hAnsi="Open Sans" w:cs="Open Sans"/>
          <w:b/>
          <w:bCs/>
          <w:sz w:val="18"/>
          <w:szCs w:val="18"/>
        </w:rPr>
        <w:t xml:space="preserve">Principes d’installation de chantier </w:t>
      </w:r>
      <w:r w:rsidRPr="00777183">
        <w:rPr>
          <w:rFonts w:ascii="Open Sans" w:hAnsi="Open Sans" w:cs="Open Sans"/>
          <w:sz w:val="18"/>
          <w:szCs w:val="18"/>
        </w:rPr>
        <w:t>(en phase courante des travaux)</w:t>
      </w:r>
      <w:r>
        <w:rPr>
          <w:rFonts w:ascii="Open Sans" w:hAnsi="Open Sans" w:cs="Open Sans"/>
          <w:b/>
          <w:bCs/>
          <w:sz w:val="18"/>
          <w:szCs w:val="18"/>
        </w:rPr>
        <w:t xml:space="preserve"> </w:t>
      </w:r>
    </w:p>
    <w:p w14:paraId="22BFA1AE" w14:textId="77777777" w:rsidR="00142A2F" w:rsidRDefault="00142A2F" w:rsidP="00142A2F">
      <w:pPr>
        <w:rPr>
          <w:rFonts w:ascii="Open Sans" w:hAnsi="Open Sans" w:cs="Open Sans"/>
          <w:sz w:val="18"/>
          <w:szCs w:val="18"/>
        </w:rPr>
      </w:pPr>
      <w:r w:rsidRPr="00BA79CA">
        <w:rPr>
          <w:rFonts w:ascii="Open Sans" w:hAnsi="Open Sans" w:cs="Open Sans"/>
          <w:noProof/>
          <w:sz w:val="18"/>
          <w:szCs w:val="18"/>
        </w:rPr>
        <w:drawing>
          <wp:inline distT="0" distB="0" distL="0" distR="0" wp14:anchorId="6E5D0041" wp14:editId="00DFB461">
            <wp:extent cx="4317559" cy="3105387"/>
            <wp:effectExtent l="0" t="0" r="698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322787" cy="3109147"/>
                    </a:xfrm>
                    <a:prstGeom prst="rect">
                      <a:avLst/>
                    </a:prstGeom>
                  </pic:spPr>
                </pic:pic>
              </a:graphicData>
            </a:graphic>
          </wp:inline>
        </w:drawing>
      </w:r>
      <w:r w:rsidRPr="00777183">
        <w:rPr>
          <w:rFonts w:ascii="Open Sans" w:hAnsi="Open Sans" w:cs="Open Sans"/>
          <w:noProof/>
          <w:sz w:val="18"/>
          <w:szCs w:val="18"/>
        </w:rPr>
        <w:drawing>
          <wp:inline distT="0" distB="0" distL="0" distR="0" wp14:anchorId="21179CF8" wp14:editId="21EDA49F">
            <wp:extent cx="1135725" cy="3088881"/>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342" cy="3109598"/>
                    </a:xfrm>
                    <a:prstGeom prst="rect">
                      <a:avLst/>
                    </a:prstGeom>
                  </pic:spPr>
                </pic:pic>
              </a:graphicData>
            </a:graphic>
          </wp:inline>
        </w:drawing>
      </w:r>
    </w:p>
    <w:p w14:paraId="2CAA4317" w14:textId="77777777" w:rsidR="00142A2F" w:rsidRPr="00764D2F" w:rsidRDefault="00142A2F" w:rsidP="00142A2F">
      <w:pPr>
        <w:rPr>
          <w:rFonts w:ascii="Open Sans" w:hAnsi="Open Sans" w:cs="Open Sans"/>
          <w:sz w:val="18"/>
          <w:szCs w:val="18"/>
        </w:rPr>
      </w:pPr>
      <w:r>
        <w:rPr>
          <w:rFonts w:ascii="Open Sans" w:hAnsi="Open Sans" w:cs="Open Sans"/>
          <w:sz w:val="18"/>
          <w:szCs w:val="18"/>
        </w:rPr>
        <w:t>Un référé préventif a été réalisé dans le cadre des travaux préalables de déconstruction et reconduit dans le cadre du projet actuel de construction.</w:t>
      </w:r>
    </w:p>
    <w:p w14:paraId="1ADC89A6" w14:textId="77777777" w:rsidR="00142A2F" w:rsidRDefault="00142A2F" w:rsidP="00142A2F">
      <w:pPr>
        <w:rPr>
          <w:rFonts w:ascii="Open Sans" w:hAnsi="Open Sans" w:cs="Open Sans"/>
          <w:b/>
          <w:bCs/>
          <w:sz w:val="18"/>
          <w:szCs w:val="18"/>
          <w:lang w:eastAsia="en-GB"/>
        </w:rPr>
      </w:pPr>
    </w:p>
    <w:p w14:paraId="199952F0" w14:textId="77777777" w:rsidR="00142A2F" w:rsidRDefault="00142A2F" w:rsidP="00142A2F">
      <w:pPr>
        <w:rPr>
          <w:rFonts w:ascii="Open Sans" w:hAnsi="Open Sans" w:cs="Open Sans"/>
          <w:b/>
          <w:bCs/>
          <w:sz w:val="18"/>
          <w:szCs w:val="18"/>
          <w:lang w:eastAsia="en-GB"/>
        </w:rPr>
      </w:pPr>
    </w:p>
    <w:p w14:paraId="2A0F8C6B" w14:textId="77777777" w:rsidR="00142A2F" w:rsidRPr="002706C2" w:rsidRDefault="00142A2F" w:rsidP="00142A2F">
      <w:pPr>
        <w:pStyle w:val="Titre3"/>
        <w:spacing w:after="200"/>
        <w:rPr>
          <w:rFonts w:ascii="Open Sans" w:hAnsi="Open Sans" w:cs="Open Sans"/>
          <w:color w:val="000000" w:themeColor="text1"/>
        </w:rPr>
      </w:pPr>
      <w:bookmarkStart w:id="37" w:name="_Toc237423183"/>
      <w:bookmarkStart w:id="38" w:name="_Toc237529639"/>
      <w:r w:rsidRPr="002706C2">
        <w:rPr>
          <w:rFonts w:ascii="Open Sans" w:hAnsi="Open Sans" w:cs="Open Sans"/>
          <w:color w:val="000000" w:themeColor="text1"/>
        </w:rPr>
        <w:lastRenderedPageBreak/>
        <w:t>Contenu des travaux lot 03</w:t>
      </w:r>
      <w:r>
        <w:rPr>
          <w:rFonts w:ascii="Open Sans" w:hAnsi="Open Sans" w:cs="Open Sans"/>
          <w:color w:val="000000" w:themeColor="text1"/>
        </w:rPr>
        <w:t xml:space="preserve"> </w:t>
      </w:r>
      <w:r w:rsidRPr="002706C2">
        <w:rPr>
          <w:rFonts w:ascii="Open Sans" w:hAnsi="Open Sans" w:cs="Open Sans"/>
          <w:color w:val="000000" w:themeColor="text1"/>
        </w:rPr>
        <w:t xml:space="preserve">- </w:t>
      </w:r>
      <w:r>
        <w:rPr>
          <w:rFonts w:ascii="Open Sans" w:hAnsi="Open Sans" w:cs="Open Sans"/>
          <w:color w:val="000000" w:themeColor="text1"/>
        </w:rPr>
        <w:t>C</w:t>
      </w:r>
      <w:bookmarkEnd w:id="37"/>
      <w:bookmarkEnd w:id="38"/>
    </w:p>
    <w:p w14:paraId="318AA66F"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10 : clos couvert et aménagement extérieur</w:t>
      </w:r>
    </w:p>
    <w:p w14:paraId="2F1FC7B1"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11- Installations de chantier</w:t>
      </w:r>
    </w:p>
    <w:p w14:paraId="713CA332"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12- Structure</w:t>
      </w:r>
    </w:p>
    <w:p w14:paraId="3E4DA375"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13- Etanchéité</w:t>
      </w:r>
    </w:p>
    <w:p w14:paraId="4384A7BB"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14- Menuiseries extérieures</w:t>
      </w:r>
    </w:p>
    <w:p w14:paraId="53237DCF"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15- Serrurerie de façade</w:t>
      </w:r>
    </w:p>
    <w:p w14:paraId="139E55FA"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16- VRD</w:t>
      </w:r>
    </w:p>
    <w:p w14:paraId="3C552140"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17- Aménagements extérieurs</w:t>
      </w:r>
    </w:p>
    <w:p w14:paraId="28E96E64"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18- Signalétique</w:t>
      </w:r>
    </w:p>
    <w:p w14:paraId="1E3CB983" w14:textId="77777777" w:rsidR="00142A2F" w:rsidRPr="001F7C91" w:rsidRDefault="00142A2F" w:rsidP="00142A2F">
      <w:pPr>
        <w:rPr>
          <w:rFonts w:ascii="Open Sans" w:hAnsi="Open Sans" w:cs="Open Sans"/>
          <w:sz w:val="18"/>
          <w:szCs w:val="18"/>
          <w:lang w:eastAsia="en-GB"/>
        </w:rPr>
      </w:pPr>
    </w:p>
    <w:p w14:paraId="1AA59F7F"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20 Distribution et finitions intérieures</w:t>
      </w:r>
    </w:p>
    <w:p w14:paraId="5EE49ADC"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21- Cloisons doublages</w:t>
      </w:r>
    </w:p>
    <w:p w14:paraId="0315CDF5"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22- Menuiseries intérieures - Mobilier</w:t>
      </w:r>
    </w:p>
    <w:p w14:paraId="768ACFEC"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23- Cloisonnement des bureaux - Vitrophanie</w:t>
      </w:r>
    </w:p>
    <w:p w14:paraId="4657791D"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24- Serrurerie métallerie</w:t>
      </w:r>
    </w:p>
    <w:p w14:paraId="24CE18FD"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25- Revêtements de sols et murs souples</w:t>
      </w:r>
    </w:p>
    <w:p w14:paraId="11A17861"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26- Revêtements de sols et murs durs</w:t>
      </w:r>
    </w:p>
    <w:p w14:paraId="7A93EC3D"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27- Faux plafonds</w:t>
      </w:r>
    </w:p>
    <w:p w14:paraId="17DAD98C"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28- Peinture</w:t>
      </w:r>
    </w:p>
    <w:p w14:paraId="41D88D3A"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29- Petites maçonneries enduits de façade</w:t>
      </w:r>
    </w:p>
    <w:p w14:paraId="2BAEBAD8" w14:textId="77777777" w:rsidR="00142A2F" w:rsidRPr="001F7C91" w:rsidRDefault="00142A2F" w:rsidP="00142A2F">
      <w:pPr>
        <w:rPr>
          <w:rFonts w:ascii="Open Sans" w:hAnsi="Open Sans" w:cs="Open Sans"/>
          <w:sz w:val="18"/>
          <w:szCs w:val="18"/>
          <w:lang w:eastAsia="en-GB"/>
        </w:rPr>
      </w:pPr>
    </w:p>
    <w:p w14:paraId="6942C2F6"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30 Fluides</w:t>
      </w:r>
    </w:p>
    <w:p w14:paraId="413E570C"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31- Chauffage Ventilation Climatisation Désenfumage (CVCD)- géothermie</w:t>
      </w:r>
    </w:p>
    <w:p w14:paraId="0F9E2E9F"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32- Plomberie</w:t>
      </w:r>
    </w:p>
    <w:p w14:paraId="426F3346"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33- Dialyse</w:t>
      </w:r>
    </w:p>
    <w:p w14:paraId="3F0ED008"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34- Fluides médicaux</w:t>
      </w:r>
    </w:p>
    <w:p w14:paraId="364FA750"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35- Transport pneumatique</w:t>
      </w:r>
    </w:p>
    <w:p w14:paraId="28D26AD3"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36- Installation sprinklage</w:t>
      </w:r>
    </w:p>
    <w:p w14:paraId="2B58F46C" w14:textId="77777777" w:rsidR="00142A2F" w:rsidRPr="001F7C91" w:rsidRDefault="00142A2F" w:rsidP="00142A2F">
      <w:pPr>
        <w:rPr>
          <w:rFonts w:ascii="Open Sans" w:hAnsi="Open Sans" w:cs="Open Sans"/>
          <w:sz w:val="18"/>
          <w:szCs w:val="18"/>
          <w:lang w:eastAsia="en-GB"/>
        </w:rPr>
      </w:pPr>
    </w:p>
    <w:p w14:paraId="0EA5AFED"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40 Electricité</w:t>
      </w:r>
    </w:p>
    <w:p w14:paraId="055ABEAA"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41- Courants forts Groupes électrogènes</w:t>
      </w:r>
    </w:p>
    <w:p w14:paraId="05512FA4"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42- Courants faibles (SSI)</w:t>
      </w:r>
    </w:p>
    <w:p w14:paraId="169D5CAE"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43- Courants faibles (Sûreté)</w:t>
      </w:r>
    </w:p>
    <w:p w14:paraId="2DF9383C"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44- Câblage Voix Données FTTO</w:t>
      </w:r>
    </w:p>
    <w:p w14:paraId="4CEF120A"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45- Courants faibles divers</w:t>
      </w:r>
    </w:p>
    <w:p w14:paraId="0A93E4F9"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46- Gestion technique du bâtiment - GMAO</w:t>
      </w:r>
    </w:p>
    <w:p w14:paraId="66C3E80A"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47- Installation Extinction Automatique à Gaz (IEAG)</w:t>
      </w:r>
    </w:p>
    <w:p w14:paraId="04A9C1B2" w14:textId="77777777" w:rsidR="00142A2F" w:rsidRPr="001F7C91" w:rsidRDefault="00142A2F" w:rsidP="00142A2F">
      <w:pPr>
        <w:rPr>
          <w:rFonts w:ascii="Open Sans" w:hAnsi="Open Sans" w:cs="Open Sans"/>
          <w:sz w:val="18"/>
          <w:szCs w:val="18"/>
          <w:lang w:eastAsia="en-GB"/>
        </w:rPr>
      </w:pPr>
    </w:p>
    <w:p w14:paraId="7F787904"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50 Appareils élévateurs</w:t>
      </w:r>
    </w:p>
    <w:p w14:paraId="4BC786DD"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51- AEL</w:t>
      </w:r>
    </w:p>
    <w:p w14:paraId="408DA23A" w14:textId="77777777" w:rsidR="00142A2F" w:rsidRPr="001F7C91" w:rsidRDefault="00142A2F" w:rsidP="00142A2F">
      <w:pPr>
        <w:rPr>
          <w:rFonts w:ascii="Open Sans" w:hAnsi="Open Sans" w:cs="Open Sans"/>
          <w:sz w:val="18"/>
          <w:szCs w:val="18"/>
          <w:lang w:eastAsia="en-GB"/>
        </w:rPr>
      </w:pPr>
    </w:p>
    <w:p w14:paraId="14957206"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60 Equipements de stérilisation</w:t>
      </w:r>
    </w:p>
    <w:p w14:paraId="444419AF"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61- Equipements de stérilisation</w:t>
      </w:r>
    </w:p>
    <w:p w14:paraId="039A2FAF" w14:textId="77777777" w:rsidR="00142A2F" w:rsidRPr="001F7C91" w:rsidRDefault="00142A2F" w:rsidP="00142A2F">
      <w:pPr>
        <w:rPr>
          <w:rFonts w:ascii="Open Sans" w:hAnsi="Open Sans" w:cs="Open Sans"/>
          <w:sz w:val="18"/>
          <w:szCs w:val="18"/>
          <w:lang w:eastAsia="en-GB"/>
        </w:rPr>
      </w:pPr>
    </w:p>
    <w:p w14:paraId="4D240FA2"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70 Equipements médicaux</w:t>
      </w:r>
    </w:p>
    <w:p w14:paraId="7B78A97E"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71- Equipements médicaux fixes</w:t>
      </w:r>
    </w:p>
    <w:p w14:paraId="5F0B3956"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72- Salles propres</w:t>
      </w:r>
    </w:p>
    <w:p w14:paraId="4CA38E1B"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73- Equipements des laboratoires</w:t>
      </w:r>
    </w:p>
    <w:p w14:paraId="398F70EF"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74- Paillasses (hors paillasses laboratoires et plans de travail)</w:t>
      </w:r>
    </w:p>
    <w:p w14:paraId="4EEC5378"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75- Chambres froides santé</w:t>
      </w:r>
    </w:p>
    <w:p w14:paraId="5B4B09D8"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76- Radioprotection</w:t>
      </w:r>
    </w:p>
    <w:p w14:paraId="68C588D8" w14:textId="77777777" w:rsidR="00142A2F" w:rsidRPr="001F7C91" w:rsidRDefault="00142A2F" w:rsidP="00142A2F">
      <w:pPr>
        <w:rPr>
          <w:rFonts w:ascii="Open Sans" w:hAnsi="Open Sans" w:cs="Open Sans"/>
          <w:sz w:val="18"/>
          <w:szCs w:val="18"/>
          <w:lang w:eastAsia="en-GB"/>
        </w:rPr>
      </w:pPr>
    </w:p>
    <w:p w14:paraId="7D1FBD74"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Corps d’états 80 Equipements de cuisine</w:t>
      </w:r>
    </w:p>
    <w:p w14:paraId="45B3F610"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81- Equipements de cuisine</w:t>
      </w:r>
    </w:p>
    <w:p w14:paraId="23F3A572"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82- Panneau isothermes de cuisine</w:t>
      </w:r>
    </w:p>
    <w:p w14:paraId="551ED3E4" w14:textId="77777777" w:rsidR="00142A2F"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83- Production frigorifique de cuisine</w:t>
      </w:r>
    </w:p>
    <w:p w14:paraId="1AB3A4A0"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lastRenderedPageBreak/>
        <w:t>Corps d’états 90 Locaux témoins</w:t>
      </w:r>
    </w:p>
    <w:p w14:paraId="78BF5CF2" w14:textId="77777777" w:rsidR="00142A2F" w:rsidRPr="001F7C91" w:rsidRDefault="00142A2F" w:rsidP="00142A2F">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91 Locaux témoins Prototype</w:t>
      </w:r>
    </w:p>
    <w:p w14:paraId="605DB369" w14:textId="77777777" w:rsidR="00142A2F" w:rsidRPr="001F7C91" w:rsidRDefault="00142A2F" w:rsidP="00142A2F">
      <w:pPr>
        <w:rPr>
          <w:rFonts w:ascii="Open Sans" w:hAnsi="Open Sans" w:cs="Open Sans"/>
          <w:b/>
          <w:bCs/>
          <w:sz w:val="18"/>
          <w:szCs w:val="18"/>
          <w:highlight w:val="yellow"/>
          <w:lang w:eastAsia="en-GB"/>
        </w:rPr>
      </w:pPr>
    </w:p>
    <w:p w14:paraId="05B8BAF5" w14:textId="77777777" w:rsidR="00142A2F" w:rsidRPr="002706C2" w:rsidRDefault="00142A2F" w:rsidP="00142A2F">
      <w:pPr>
        <w:pStyle w:val="Titre3"/>
        <w:spacing w:after="200"/>
        <w:rPr>
          <w:rFonts w:ascii="Open Sans" w:hAnsi="Open Sans" w:cs="Open Sans"/>
          <w:color w:val="000000" w:themeColor="text1"/>
        </w:rPr>
      </w:pPr>
      <w:bookmarkStart w:id="39" w:name="_Toc237423184"/>
      <w:bookmarkStart w:id="40" w:name="_Toc237529640"/>
      <w:r w:rsidRPr="002706C2">
        <w:rPr>
          <w:rFonts w:ascii="Open Sans" w:hAnsi="Open Sans" w:cs="Open Sans"/>
          <w:color w:val="000000" w:themeColor="text1"/>
        </w:rPr>
        <w:t>Intervenants</w:t>
      </w:r>
      <w:bookmarkEnd w:id="39"/>
      <w:bookmarkEnd w:id="40"/>
      <w:r w:rsidRPr="002706C2">
        <w:rPr>
          <w:rFonts w:ascii="Open Sans" w:hAnsi="Open Sans" w:cs="Open Sans"/>
          <w:color w:val="000000" w:themeColor="text1"/>
        </w:rPr>
        <w:t xml:space="preserve"> </w:t>
      </w:r>
    </w:p>
    <w:p w14:paraId="1AE90D7E"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Maitrise d’ouvrage</w:t>
      </w:r>
    </w:p>
    <w:p w14:paraId="79B74EFF"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La conduite de projet est assurée par l’AP-HP :</w:t>
      </w:r>
    </w:p>
    <w:p w14:paraId="085E7DA2"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Service Grand Projet Nord (SGPN)</w:t>
      </w:r>
    </w:p>
    <w:p w14:paraId="2C066008"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Département Immobilier et Investissements DII - DEFIP</w:t>
      </w:r>
    </w:p>
    <w:p w14:paraId="0B9EE4E2"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Assistance Publique Hôpitaux de Paris 55 boulevard Diderot, CS22305,75610 Paris cedex 12</w:t>
      </w:r>
    </w:p>
    <w:p w14:paraId="69BF5AA3" w14:textId="77777777" w:rsidR="00142A2F"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La maîtrise d’ouvrage missionnera des Assistants à Maitrise d’Ouvrage selon ses besoins.</w:t>
      </w:r>
    </w:p>
    <w:p w14:paraId="6D050351" w14:textId="77777777" w:rsidR="00142A2F" w:rsidRPr="001F7C91" w:rsidRDefault="00142A2F" w:rsidP="00142A2F">
      <w:pPr>
        <w:rPr>
          <w:rFonts w:ascii="Open Sans" w:hAnsi="Open Sans" w:cs="Open Sans"/>
          <w:sz w:val="18"/>
          <w:szCs w:val="18"/>
          <w:lang w:eastAsia="en-GB"/>
        </w:rPr>
      </w:pPr>
    </w:p>
    <w:p w14:paraId="745D2E0A"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 xml:space="preserve">Maitrise d’œuvre </w:t>
      </w:r>
    </w:p>
    <w:p w14:paraId="35BC19F6"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Le groupement de maîtrise d’œuvre est constitué de :</w:t>
      </w:r>
    </w:p>
    <w:p w14:paraId="0C3CD49A" w14:textId="77777777" w:rsidR="00142A2F" w:rsidRPr="001F7C91" w:rsidRDefault="00142A2F" w:rsidP="00142A2F">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val="en-US" w:eastAsia="en-GB"/>
        </w:rPr>
      </w:pPr>
      <w:proofErr w:type="spellStart"/>
      <w:r w:rsidRPr="001F7C91">
        <w:rPr>
          <w:rFonts w:ascii="Open Sans" w:hAnsi="Open Sans" w:cs="Open Sans"/>
          <w:sz w:val="18"/>
          <w:szCs w:val="18"/>
          <w:lang w:val="en-US" w:eastAsia="en-GB"/>
        </w:rPr>
        <w:t>Architecte</w:t>
      </w:r>
      <w:proofErr w:type="spellEnd"/>
      <w:r w:rsidRPr="001F7C91">
        <w:rPr>
          <w:rFonts w:ascii="Open Sans" w:hAnsi="Open Sans" w:cs="Open Sans"/>
          <w:sz w:val="18"/>
          <w:szCs w:val="18"/>
          <w:lang w:val="en-US" w:eastAsia="en-GB"/>
        </w:rPr>
        <w:t xml:space="preserve"> </w:t>
      </w:r>
      <w:proofErr w:type="spellStart"/>
      <w:r w:rsidRPr="001F7C91">
        <w:rPr>
          <w:rFonts w:ascii="Open Sans" w:hAnsi="Open Sans" w:cs="Open Sans"/>
          <w:sz w:val="18"/>
          <w:szCs w:val="18"/>
          <w:lang w:val="en-US" w:eastAsia="en-GB"/>
        </w:rPr>
        <w:t>mandataire</w:t>
      </w:r>
      <w:proofErr w:type="spellEnd"/>
      <w:r w:rsidRPr="001F7C91">
        <w:rPr>
          <w:rFonts w:ascii="Open Sans" w:hAnsi="Open Sans" w:cs="Open Sans"/>
          <w:sz w:val="18"/>
          <w:szCs w:val="18"/>
          <w:lang w:val="en-US" w:eastAsia="en-GB"/>
        </w:rPr>
        <w:t xml:space="preserve"> : RENZO PIANO BUILDING WORKSHOP (RPBW) 34, rue des Archives 75004 PARIS</w:t>
      </w:r>
    </w:p>
    <w:p w14:paraId="14B4D072" w14:textId="77777777" w:rsidR="00142A2F" w:rsidRPr="001F7C91" w:rsidRDefault="00142A2F" w:rsidP="00142A2F">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 xml:space="preserve">Architecte associé : BRUNET SAUNIER architectes 17, rue </w:t>
      </w:r>
      <w:proofErr w:type="spellStart"/>
      <w:r w:rsidRPr="001F7C91">
        <w:rPr>
          <w:rFonts w:ascii="Open Sans" w:hAnsi="Open Sans" w:cs="Open Sans"/>
          <w:sz w:val="18"/>
          <w:szCs w:val="18"/>
          <w:lang w:eastAsia="en-GB"/>
        </w:rPr>
        <w:t>Dupetit</w:t>
      </w:r>
      <w:proofErr w:type="spellEnd"/>
      <w:r w:rsidRPr="001F7C91">
        <w:rPr>
          <w:rFonts w:ascii="Open Sans" w:hAnsi="Open Sans" w:cs="Open Sans"/>
          <w:sz w:val="18"/>
          <w:szCs w:val="18"/>
          <w:lang w:eastAsia="en-GB"/>
        </w:rPr>
        <w:t xml:space="preserve"> Thouars – 75003 Paris</w:t>
      </w:r>
    </w:p>
    <w:p w14:paraId="77AD573D" w14:textId="77777777" w:rsidR="00142A2F" w:rsidRPr="001F7C91" w:rsidRDefault="00142A2F" w:rsidP="00142A2F">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 xml:space="preserve">Economiste : SLETEC 9 rue </w:t>
      </w:r>
      <w:proofErr w:type="spellStart"/>
      <w:r w:rsidRPr="001F7C91">
        <w:rPr>
          <w:rFonts w:ascii="Open Sans" w:hAnsi="Open Sans" w:cs="Open Sans"/>
          <w:sz w:val="18"/>
          <w:szCs w:val="18"/>
          <w:lang w:eastAsia="en-GB"/>
        </w:rPr>
        <w:t>Magneval</w:t>
      </w:r>
      <w:proofErr w:type="spellEnd"/>
      <w:r w:rsidRPr="001F7C91">
        <w:rPr>
          <w:rFonts w:ascii="Open Sans" w:hAnsi="Open Sans" w:cs="Open Sans"/>
          <w:sz w:val="18"/>
          <w:szCs w:val="18"/>
          <w:lang w:eastAsia="en-GB"/>
        </w:rPr>
        <w:t xml:space="preserve"> 69001 LYON</w:t>
      </w:r>
    </w:p>
    <w:p w14:paraId="4FF8B758" w14:textId="77777777" w:rsidR="00142A2F" w:rsidRPr="001F7C91" w:rsidRDefault="00142A2F" w:rsidP="00142A2F">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BET Technique Tous corps d’États : INGEROP 18, rue des Deux Gares - CS 70081 92563 Rueil-Malmaison Cedex</w:t>
      </w:r>
    </w:p>
    <w:p w14:paraId="139E924C"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Contrôleur Technique</w:t>
      </w:r>
      <w:r w:rsidRPr="001F7C91">
        <w:rPr>
          <w:rFonts w:ascii="Open Sans" w:hAnsi="Open Sans" w:cs="Open Sans"/>
          <w:sz w:val="18"/>
          <w:szCs w:val="18"/>
          <w:lang w:eastAsia="en-GB"/>
        </w:rPr>
        <w:t xml:space="preserve"> </w:t>
      </w:r>
      <w:r w:rsidRPr="001F7C91">
        <w:rPr>
          <w:rFonts w:ascii="Open Sans" w:hAnsi="Open Sans" w:cs="Open Sans"/>
          <w:b/>
          <w:bCs/>
          <w:sz w:val="18"/>
          <w:szCs w:val="18"/>
          <w:lang w:eastAsia="en-GB"/>
        </w:rPr>
        <w:t>&amp; SPS</w:t>
      </w:r>
    </w:p>
    <w:p w14:paraId="455F3398"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BTP consultant</w:t>
      </w:r>
    </w:p>
    <w:p w14:paraId="704B1AB8"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Agence Ile-de-France Nord Contrôle technique - 202 quai de Clichy - 92110 CLICHY</w:t>
      </w:r>
    </w:p>
    <w:p w14:paraId="0C4CF025" w14:textId="77777777" w:rsidR="00142A2F" w:rsidRPr="001F7C91" w:rsidRDefault="00142A2F" w:rsidP="00142A2F">
      <w:pPr>
        <w:rPr>
          <w:rFonts w:ascii="Open Sans" w:hAnsi="Open Sans" w:cs="Open Sans"/>
          <w:sz w:val="18"/>
          <w:szCs w:val="18"/>
          <w:lang w:eastAsia="en-GB"/>
        </w:rPr>
      </w:pPr>
      <w:r w:rsidRPr="001F7C91">
        <w:rPr>
          <w:rFonts w:ascii="Open Sans" w:hAnsi="Open Sans" w:cs="Open Sans"/>
          <w:sz w:val="18"/>
          <w:szCs w:val="18"/>
          <w:lang w:eastAsia="en-GB"/>
        </w:rPr>
        <w:t xml:space="preserve">Les missions confiées par le maître d’ouvrage au contrôleur technique (mission exercée par BTP consultants pour ce marché) sont les suivantes : L + P1 + LE + PS + AV + PV + STI + SEI + HAND + BRD + TH + PH + F + ENV + GTB + </w:t>
      </w:r>
      <w:proofErr w:type="spellStart"/>
      <w:r w:rsidRPr="001F7C91">
        <w:rPr>
          <w:rFonts w:ascii="Open Sans" w:hAnsi="Open Sans" w:cs="Open Sans"/>
          <w:sz w:val="18"/>
          <w:szCs w:val="18"/>
          <w:lang w:eastAsia="en-GB"/>
        </w:rPr>
        <w:t>HYSa</w:t>
      </w:r>
      <w:proofErr w:type="spellEnd"/>
      <w:r w:rsidRPr="001F7C91">
        <w:rPr>
          <w:rFonts w:ascii="Open Sans" w:hAnsi="Open Sans" w:cs="Open Sans"/>
          <w:sz w:val="18"/>
          <w:szCs w:val="18"/>
          <w:lang w:eastAsia="en-GB"/>
        </w:rPr>
        <w:t xml:space="preserve"> + CABL </w:t>
      </w:r>
    </w:p>
    <w:p w14:paraId="7EA5731C" w14:textId="77777777" w:rsidR="00142A2F" w:rsidRPr="001F7C91" w:rsidRDefault="00142A2F" w:rsidP="00142A2F">
      <w:pPr>
        <w:rPr>
          <w:rFonts w:ascii="Open Sans" w:hAnsi="Open Sans" w:cs="Open Sans"/>
          <w:b/>
          <w:bCs/>
          <w:sz w:val="18"/>
          <w:szCs w:val="18"/>
          <w:highlight w:val="yellow"/>
          <w:lang w:eastAsia="en-GB"/>
        </w:rPr>
      </w:pPr>
    </w:p>
    <w:p w14:paraId="2C3DF7CD" w14:textId="77777777" w:rsidR="00142A2F" w:rsidRPr="002706C2" w:rsidRDefault="00142A2F" w:rsidP="00142A2F">
      <w:pPr>
        <w:pStyle w:val="Titre3"/>
        <w:spacing w:after="200"/>
        <w:rPr>
          <w:rFonts w:ascii="Open Sans" w:hAnsi="Open Sans" w:cs="Open Sans"/>
          <w:color w:val="000000" w:themeColor="text1"/>
        </w:rPr>
      </w:pPr>
      <w:bookmarkStart w:id="41" w:name="_Toc237423185"/>
      <w:bookmarkStart w:id="42" w:name="_Toc237529641"/>
      <w:r w:rsidRPr="002706C2">
        <w:rPr>
          <w:rFonts w:ascii="Open Sans" w:hAnsi="Open Sans" w:cs="Open Sans"/>
          <w:color w:val="000000" w:themeColor="text1"/>
        </w:rPr>
        <w:t>Assiette previsionnelle de couverture de l’assurance</w:t>
      </w:r>
      <w:bookmarkEnd w:id="41"/>
      <w:bookmarkEnd w:id="42"/>
    </w:p>
    <w:p w14:paraId="60584C69" w14:textId="77777777" w:rsidR="00142A2F" w:rsidRPr="001F7C91"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t>Montant de l’opération se décompose ainsi :</w:t>
      </w:r>
    </w:p>
    <w:p w14:paraId="3678494A" w14:textId="77777777" w:rsidR="00142A2F" w:rsidRPr="001F7C91" w:rsidRDefault="00142A2F" w:rsidP="00142A2F">
      <w:pPr>
        <w:rPr>
          <w:rFonts w:ascii="Open Sans" w:hAnsi="Open Sans" w:cs="Open Sans"/>
          <w:color w:val="auto"/>
          <w:sz w:val="18"/>
          <w:szCs w:val="18"/>
        </w:rPr>
      </w:pPr>
      <w:r w:rsidRPr="001F7C91">
        <w:rPr>
          <w:rFonts w:ascii="Open Sans" w:hAnsi="Open Sans" w:cs="Open Sans"/>
          <w:sz w:val="18"/>
          <w:szCs w:val="18"/>
          <w:lang w:eastAsia="en-GB"/>
        </w:rPr>
        <w:fldChar w:fldCharType="begin"/>
      </w:r>
      <w:r w:rsidRPr="001F7C91">
        <w:rPr>
          <w:rFonts w:ascii="Open Sans" w:hAnsi="Open Sans" w:cs="Open Sans"/>
          <w:sz w:val="18"/>
          <w:szCs w:val="18"/>
          <w:lang w:eastAsia="en-GB"/>
        </w:rPr>
        <w:instrText xml:space="preserve"> LINK Excel.Sheet.12 "https://hyperioncloud.sharepoint.com/sites/ECHANGE-HASS/Shared%20Documents/04.%20Ligne%20Produit/Construction/SOUSCRIPTION/AOP/_NOTIFIES/Sept%202023_Oct%202024/APHP%20St%20Ouen%20DCE/Dossier%20technique/2026%2001%202026%20HUSOGPN%20marchés%20couverture%20CCRD.xlsx" "Feuil1!L5C1:L19C7" \a \f 4 \h  \* MERGEFORMAT </w:instrText>
      </w:r>
      <w:r w:rsidRPr="001F7C91">
        <w:rPr>
          <w:rFonts w:ascii="Open Sans" w:hAnsi="Open Sans" w:cs="Open Sans"/>
          <w:sz w:val="18"/>
          <w:szCs w:val="18"/>
          <w:lang w:eastAsia="en-GB"/>
        </w:rPr>
        <w:fldChar w:fldCharType="separate"/>
      </w:r>
    </w:p>
    <w:tbl>
      <w:tblPr>
        <w:tblW w:w="10490" w:type="dxa"/>
        <w:tblInd w:w="-709" w:type="dxa"/>
        <w:tblCellMar>
          <w:left w:w="70" w:type="dxa"/>
          <w:right w:w="70" w:type="dxa"/>
        </w:tblCellMar>
        <w:tblLook w:val="04A0" w:firstRow="1" w:lastRow="0" w:firstColumn="1" w:lastColumn="0" w:noHBand="0" w:noVBand="1"/>
      </w:tblPr>
      <w:tblGrid>
        <w:gridCol w:w="3544"/>
        <w:gridCol w:w="2977"/>
        <w:gridCol w:w="1984"/>
        <w:gridCol w:w="1985"/>
      </w:tblGrid>
      <w:tr w:rsidR="00142A2F" w:rsidRPr="002706C2" w14:paraId="744E19E3" w14:textId="77777777" w:rsidTr="00712C7C">
        <w:trPr>
          <w:trHeight w:val="290"/>
        </w:trPr>
        <w:tc>
          <w:tcPr>
            <w:tcW w:w="3544" w:type="dxa"/>
            <w:tcBorders>
              <w:top w:val="nil"/>
              <w:left w:val="nil"/>
              <w:bottom w:val="nil"/>
              <w:right w:val="nil"/>
            </w:tcBorders>
            <w:noWrap/>
            <w:vAlign w:val="bottom"/>
            <w:hideMark/>
          </w:tcPr>
          <w:p w14:paraId="3FA05A00" w14:textId="77777777" w:rsidR="00142A2F" w:rsidRPr="002706C2" w:rsidRDefault="00142A2F" w:rsidP="00712C7C">
            <w:pPr>
              <w:rPr>
                <w:rFonts w:ascii="Open Sans" w:hAnsi="Open Sans" w:cs="Open Sans"/>
                <w:b/>
                <w:bCs/>
                <w:sz w:val="18"/>
                <w:szCs w:val="18"/>
              </w:rPr>
            </w:pPr>
            <w:r w:rsidRPr="002706C2">
              <w:rPr>
                <w:rFonts w:ascii="Open Sans" w:hAnsi="Open Sans" w:cs="Open Sans"/>
                <w:b/>
                <w:bCs/>
                <w:sz w:val="18"/>
                <w:szCs w:val="18"/>
              </w:rPr>
              <w:t xml:space="preserve">Marchés passés : </w:t>
            </w:r>
          </w:p>
          <w:p w14:paraId="05A97BBC" w14:textId="77777777" w:rsidR="00142A2F" w:rsidRPr="002706C2" w:rsidRDefault="00142A2F" w:rsidP="00712C7C">
            <w:pPr>
              <w:rPr>
                <w:rFonts w:ascii="Open Sans" w:hAnsi="Open Sans" w:cs="Open Sans"/>
                <w:b/>
                <w:bCs/>
                <w:sz w:val="18"/>
                <w:szCs w:val="18"/>
              </w:rPr>
            </w:pPr>
          </w:p>
        </w:tc>
        <w:tc>
          <w:tcPr>
            <w:tcW w:w="2977" w:type="dxa"/>
            <w:tcBorders>
              <w:top w:val="nil"/>
              <w:left w:val="nil"/>
              <w:bottom w:val="nil"/>
              <w:right w:val="nil"/>
            </w:tcBorders>
            <w:noWrap/>
            <w:vAlign w:val="bottom"/>
            <w:hideMark/>
          </w:tcPr>
          <w:p w14:paraId="51FC8495" w14:textId="77777777" w:rsidR="00142A2F" w:rsidRPr="002706C2" w:rsidRDefault="00142A2F" w:rsidP="00712C7C">
            <w:pPr>
              <w:rPr>
                <w:rFonts w:ascii="Open Sans" w:hAnsi="Open Sans" w:cs="Open Sans"/>
                <w:b/>
                <w:bCs/>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14:paraId="5F772530" w14:textId="77777777" w:rsidR="00142A2F" w:rsidRPr="002706C2" w:rsidRDefault="00142A2F" w:rsidP="00712C7C">
            <w:pPr>
              <w:rPr>
                <w:rFonts w:ascii="Open Sans" w:hAnsi="Open Sans" w:cs="Open Sans"/>
                <w:b/>
                <w:bCs/>
                <w:sz w:val="18"/>
                <w:szCs w:val="18"/>
              </w:rPr>
            </w:pPr>
            <w:r w:rsidRPr="002706C2">
              <w:rPr>
                <w:rFonts w:ascii="Open Sans" w:hAnsi="Open Sans" w:cs="Open Sans"/>
                <w:b/>
                <w:bCs/>
                <w:sz w:val="18"/>
                <w:szCs w:val="18"/>
              </w:rPr>
              <w:t>Montant HT</w:t>
            </w:r>
          </w:p>
        </w:tc>
        <w:tc>
          <w:tcPr>
            <w:tcW w:w="1985" w:type="dxa"/>
            <w:tcBorders>
              <w:top w:val="single" w:sz="4" w:space="0" w:color="auto"/>
              <w:left w:val="nil"/>
              <w:bottom w:val="single" w:sz="4" w:space="0" w:color="auto"/>
              <w:right w:val="single" w:sz="4" w:space="0" w:color="auto"/>
            </w:tcBorders>
            <w:noWrap/>
            <w:vAlign w:val="bottom"/>
            <w:hideMark/>
          </w:tcPr>
          <w:p w14:paraId="78DA9334" w14:textId="77777777" w:rsidR="00142A2F" w:rsidRPr="002706C2" w:rsidRDefault="00142A2F" w:rsidP="00712C7C">
            <w:pPr>
              <w:rPr>
                <w:rFonts w:ascii="Open Sans" w:hAnsi="Open Sans" w:cs="Open Sans"/>
                <w:b/>
                <w:bCs/>
                <w:sz w:val="18"/>
                <w:szCs w:val="18"/>
              </w:rPr>
            </w:pPr>
            <w:r w:rsidRPr="002706C2">
              <w:rPr>
                <w:rFonts w:ascii="Open Sans" w:hAnsi="Open Sans" w:cs="Open Sans"/>
                <w:b/>
                <w:bCs/>
                <w:sz w:val="18"/>
                <w:szCs w:val="18"/>
              </w:rPr>
              <w:t>Montant TTC</w:t>
            </w:r>
          </w:p>
        </w:tc>
      </w:tr>
      <w:tr w:rsidR="00142A2F" w:rsidRPr="002706C2" w14:paraId="336644B0" w14:textId="77777777" w:rsidTr="00712C7C">
        <w:trPr>
          <w:trHeight w:val="290"/>
        </w:trPr>
        <w:tc>
          <w:tcPr>
            <w:tcW w:w="3544" w:type="dxa"/>
            <w:tcBorders>
              <w:top w:val="single" w:sz="4" w:space="0" w:color="auto"/>
              <w:left w:val="single" w:sz="4" w:space="0" w:color="auto"/>
              <w:bottom w:val="single" w:sz="4" w:space="0" w:color="auto"/>
              <w:right w:val="single" w:sz="4" w:space="0" w:color="auto"/>
            </w:tcBorders>
            <w:noWrap/>
            <w:vAlign w:val="bottom"/>
            <w:hideMark/>
          </w:tcPr>
          <w:p w14:paraId="73441E29"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MOE mandataire</w:t>
            </w:r>
          </w:p>
        </w:tc>
        <w:tc>
          <w:tcPr>
            <w:tcW w:w="2977" w:type="dxa"/>
            <w:tcBorders>
              <w:top w:val="single" w:sz="4" w:space="0" w:color="auto"/>
              <w:left w:val="nil"/>
              <w:bottom w:val="single" w:sz="4" w:space="0" w:color="auto"/>
              <w:right w:val="single" w:sz="4" w:space="0" w:color="auto"/>
            </w:tcBorders>
            <w:noWrap/>
            <w:vAlign w:val="bottom"/>
            <w:hideMark/>
          </w:tcPr>
          <w:p w14:paraId="1745FF1C"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RPBW</w:t>
            </w:r>
          </w:p>
        </w:tc>
        <w:tc>
          <w:tcPr>
            <w:tcW w:w="1984" w:type="dxa"/>
            <w:tcBorders>
              <w:top w:val="nil"/>
              <w:left w:val="nil"/>
              <w:bottom w:val="single" w:sz="4" w:space="0" w:color="auto"/>
              <w:right w:val="single" w:sz="4" w:space="0" w:color="auto"/>
            </w:tcBorders>
            <w:noWrap/>
            <w:vAlign w:val="center"/>
            <w:hideMark/>
          </w:tcPr>
          <w:p w14:paraId="7358A485"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25 401 936,53 </w:t>
            </w:r>
          </w:p>
        </w:tc>
        <w:tc>
          <w:tcPr>
            <w:tcW w:w="1985" w:type="dxa"/>
            <w:tcBorders>
              <w:top w:val="nil"/>
              <w:left w:val="nil"/>
              <w:bottom w:val="single" w:sz="4" w:space="0" w:color="auto"/>
              <w:right w:val="single" w:sz="4" w:space="0" w:color="auto"/>
            </w:tcBorders>
            <w:noWrap/>
            <w:vAlign w:val="center"/>
            <w:hideMark/>
          </w:tcPr>
          <w:p w14:paraId="2AAC69DE"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30 482 323,84 </w:t>
            </w:r>
          </w:p>
        </w:tc>
      </w:tr>
      <w:tr w:rsidR="00142A2F" w:rsidRPr="002706C2" w14:paraId="1D38D420"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7565E203"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MOE architecte associé co-traitant</w:t>
            </w:r>
          </w:p>
        </w:tc>
        <w:tc>
          <w:tcPr>
            <w:tcW w:w="2977" w:type="dxa"/>
            <w:tcBorders>
              <w:top w:val="nil"/>
              <w:left w:val="nil"/>
              <w:bottom w:val="single" w:sz="4" w:space="0" w:color="auto"/>
              <w:right w:val="single" w:sz="4" w:space="0" w:color="auto"/>
            </w:tcBorders>
            <w:noWrap/>
            <w:vAlign w:val="bottom"/>
            <w:hideMark/>
          </w:tcPr>
          <w:p w14:paraId="609C7144"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BRUNET SAUNIER architecture</w:t>
            </w:r>
          </w:p>
        </w:tc>
        <w:tc>
          <w:tcPr>
            <w:tcW w:w="1984" w:type="dxa"/>
            <w:tcBorders>
              <w:top w:val="nil"/>
              <w:left w:val="nil"/>
              <w:bottom w:val="single" w:sz="4" w:space="0" w:color="auto"/>
              <w:right w:val="single" w:sz="4" w:space="0" w:color="auto"/>
            </w:tcBorders>
            <w:noWrap/>
            <w:vAlign w:val="center"/>
            <w:hideMark/>
          </w:tcPr>
          <w:p w14:paraId="6CB2385C"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10 565 436,69 </w:t>
            </w:r>
          </w:p>
        </w:tc>
        <w:tc>
          <w:tcPr>
            <w:tcW w:w="1985" w:type="dxa"/>
            <w:tcBorders>
              <w:top w:val="nil"/>
              <w:left w:val="nil"/>
              <w:bottom w:val="single" w:sz="4" w:space="0" w:color="auto"/>
              <w:right w:val="single" w:sz="4" w:space="0" w:color="auto"/>
            </w:tcBorders>
            <w:noWrap/>
            <w:vAlign w:val="center"/>
            <w:hideMark/>
          </w:tcPr>
          <w:p w14:paraId="0C290887"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12 678 524,03 </w:t>
            </w:r>
          </w:p>
        </w:tc>
      </w:tr>
      <w:tr w:rsidR="00142A2F" w:rsidRPr="002706C2" w14:paraId="2F21DD34"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82E8221"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MOE économiste co-traitant</w:t>
            </w:r>
          </w:p>
        </w:tc>
        <w:tc>
          <w:tcPr>
            <w:tcW w:w="2977" w:type="dxa"/>
            <w:tcBorders>
              <w:top w:val="nil"/>
              <w:left w:val="nil"/>
              <w:bottom w:val="single" w:sz="4" w:space="0" w:color="auto"/>
              <w:right w:val="single" w:sz="4" w:space="0" w:color="auto"/>
            </w:tcBorders>
            <w:noWrap/>
            <w:vAlign w:val="bottom"/>
            <w:hideMark/>
          </w:tcPr>
          <w:p w14:paraId="1B42EFCD"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SLETEC INGENIERIE</w:t>
            </w:r>
          </w:p>
        </w:tc>
        <w:tc>
          <w:tcPr>
            <w:tcW w:w="1984" w:type="dxa"/>
            <w:tcBorders>
              <w:top w:val="nil"/>
              <w:left w:val="nil"/>
              <w:bottom w:val="single" w:sz="4" w:space="0" w:color="auto"/>
              <w:right w:val="single" w:sz="4" w:space="0" w:color="auto"/>
            </w:tcBorders>
            <w:noWrap/>
            <w:vAlign w:val="center"/>
            <w:hideMark/>
          </w:tcPr>
          <w:p w14:paraId="71F64DB5"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4 469 819,40 </w:t>
            </w:r>
          </w:p>
        </w:tc>
        <w:tc>
          <w:tcPr>
            <w:tcW w:w="1985" w:type="dxa"/>
            <w:tcBorders>
              <w:top w:val="nil"/>
              <w:left w:val="nil"/>
              <w:bottom w:val="single" w:sz="4" w:space="0" w:color="auto"/>
              <w:right w:val="single" w:sz="4" w:space="0" w:color="auto"/>
            </w:tcBorders>
            <w:noWrap/>
            <w:vAlign w:val="center"/>
            <w:hideMark/>
          </w:tcPr>
          <w:p w14:paraId="1110087A"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5 363 783,28 </w:t>
            </w:r>
          </w:p>
        </w:tc>
      </w:tr>
      <w:tr w:rsidR="00142A2F" w:rsidRPr="002706C2" w14:paraId="2086A919"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412FE62A" w14:textId="77777777" w:rsidR="00142A2F" w:rsidRPr="002706C2" w:rsidRDefault="00142A2F" w:rsidP="00712C7C">
            <w:pPr>
              <w:rPr>
                <w:rFonts w:ascii="Open Sans" w:hAnsi="Open Sans" w:cs="Open Sans"/>
                <w:sz w:val="18"/>
                <w:szCs w:val="18"/>
                <w:lang w:val="en-US"/>
              </w:rPr>
            </w:pPr>
            <w:r w:rsidRPr="002706C2">
              <w:rPr>
                <w:rFonts w:ascii="Open Sans" w:hAnsi="Open Sans" w:cs="Open Sans"/>
                <w:sz w:val="18"/>
                <w:szCs w:val="18"/>
                <w:lang w:val="en-US"/>
              </w:rPr>
              <w:t>MOE BET TCE co-</w:t>
            </w:r>
            <w:proofErr w:type="spellStart"/>
            <w:r w:rsidRPr="002706C2">
              <w:rPr>
                <w:rFonts w:ascii="Open Sans" w:hAnsi="Open Sans" w:cs="Open Sans"/>
                <w:sz w:val="18"/>
                <w:szCs w:val="18"/>
                <w:lang w:val="en-US"/>
              </w:rPr>
              <w:t>traitant</w:t>
            </w:r>
            <w:proofErr w:type="spellEnd"/>
          </w:p>
        </w:tc>
        <w:tc>
          <w:tcPr>
            <w:tcW w:w="2977" w:type="dxa"/>
            <w:tcBorders>
              <w:top w:val="nil"/>
              <w:left w:val="nil"/>
              <w:bottom w:val="single" w:sz="4" w:space="0" w:color="auto"/>
              <w:right w:val="single" w:sz="4" w:space="0" w:color="auto"/>
            </w:tcBorders>
            <w:noWrap/>
            <w:vAlign w:val="bottom"/>
            <w:hideMark/>
          </w:tcPr>
          <w:p w14:paraId="659D9DAA"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INGEROP</w:t>
            </w:r>
          </w:p>
        </w:tc>
        <w:tc>
          <w:tcPr>
            <w:tcW w:w="1984" w:type="dxa"/>
            <w:tcBorders>
              <w:top w:val="nil"/>
              <w:left w:val="nil"/>
              <w:bottom w:val="single" w:sz="4" w:space="0" w:color="auto"/>
              <w:right w:val="single" w:sz="4" w:space="0" w:color="auto"/>
            </w:tcBorders>
            <w:noWrap/>
            <w:vAlign w:val="center"/>
            <w:hideMark/>
          </w:tcPr>
          <w:p w14:paraId="6AB67CBD"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30 173 996,78 </w:t>
            </w:r>
          </w:p>
        </w:tc>
        <w:tc>
          <w:tcPr>
            <w:tcW w:w="1985" w:type="dxa"/>
            <w:tcBorders>
              <w:top w:val="nil"/>
              <w:left w:val="nil"/>
              <w:bottom w:val="single" w:sz="4" w:space="0" w:color="auto"/>
              <w:right w:val="single" w:sz="4" w:space="0" w:color="auto"/>
            </w:tcBorders>
            <w:noWrap/>
            <w:vAlign w:val="center"/>
            <w:hideMark/>
          </w:tcPr>
          <w:p w14:paraId="75DC53C5"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36 208 796,14 </w:t>
            </w:r>
          </w:p>
        </w:tc>
      </w:tr>
      <w:tr w:rsidR="00142A2F" w:rsidRPr="002706C2" w14:paraId="05825395"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6911F9B9"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Bureau de contrôle</w:t>
            </w:r>
          </w:p>
        </w:tc>
        <w:tc>
          <w:tcPr>
            <w:tcW w:w="2977" w:type="dxa"/>
            <w:tcBorders>
              <w:top w:val="nil"/>
              <w:left w:val="nil"/>
              <w:bottom w:val="single" w:sz="4" w:space="0" w:color="auto"/>
              <w:right w:val="single" w:sz="4" w:space="0" w:color="auto"/>
            </w:tcBorders>
            <w:noWrap/>
            <w:vAlign w:val="bottom"/>
            <w:hideMark/>
          </w:tcPr>
          <w:p w14:paraId="71A61FA5"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BTP consultant</w:t>
            </w:r>
          </w:p>
        </w:tc>
        <w:tc>
          <w:tcPr>
            <w:tcW w:w="1984" w:type="dxa"/>
            <w:tcBorders>
              <w:top w:val="nil"/>
              <w:left w:val="nil"/>
              <w:bottom w:val="single" w:sz="4" w:space="0" w:color="auto"/>
              <w:right w:val="single" w:sz="4" w:space="0" w:color="auto"/>
            </w:tcBorders>
            <w:noWrap/>
            <w:vAlign w:val="center"/>
            <w:hideMark/>
          </w:tcPr>
          <w:p w14:paraId="0D18FD4C"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645 440,00 </w:t>
            </w:r>
          </w:p>
        </w:tc>
        <w:tc>
          <w:tcPr>
            <w:tcW w:w="1985" w:type="dxa"/>
            <w:tcBorders>
              <w:top w:val="nil"/>
              <w:left w:val="nil"/>
              <w:bottom w:val="single" w:sz="4" w:space="0" w:color="auto"/>
              <w:right w:val="single" w:sz="4" w:space="0" w:color="auto"/>
            </w:tcBorders>
            <w:noWrap/>
            <w:vAlign w:val="center"/>
            <w:hideMark/>
          </w:tcPr>
          <w:p w14:paraId="12BA05EF"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774 528,00 </w:t>
            </w:r>
          </w:p>
        </w:tc>
      </w:tr>
      <w:tr w:rsidR="00142A2F" w:rsidRPr="002706C2" w14:paraId="105C4A3A"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73CD1F9E"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Entreprise lot 01-paroi moulée terrassements mandataire</w:t>
            </w:r>
          </w:p>
        </w:tc>
        <w:tc>
          <w:tcPr>
            <w:tcW w:w="2977" w:type="dxa"/>
            <w:tcBorders>
              <w:top w:val="nil"/>
              <w:left w:val="nil"/>
              <w:bottom w:val="single" w:sz="4" w:space="0" w:color="auto"/>
              <w:right w:val="single" w:sz="4" w:space="0" w:color="auto"/>
            </w:tcBorders>
            <w:noWrap/>
            <w:vAlign w:val="bottom"/>
            <w:hideMark/>
          </w:tcPr>
          <w:p w14:paraId="1F42DBD9"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SEFI INTRAFOR</w:t>
            </w:r>
          </w:p>
        </w:tc>
        <w:tc>
          <w:tcPr>
            <w:tcW w:w="1984" w:type="dxa"/>
            <w:tcBorders>
              <w:top w:val="nil"/>
              <w:left w:val="nil"/>
              <w:bottom w:val="single" w:sz="4" w:space="0" w:color="auto"/>
              <w:right w:val="single" w:sz="4" w:space="0" w:color="auto"/>
            </w:tcBorders>
            <w:noWrap/>
            <w:vAlign w:val="center"/>
            <w:hideMark/>
          </w:tcPr>
          <w:p w14:paraId="62F8D997"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11 235 201,60 </w:t>
            </w:r>
          </w:p>
        </w:tc>
        <w:tc>
          <w:tcPr>
            <w:tcW w:w="1985" w:type="dxa"/>
            <w:tcBorders>
              <w:top w:val="nil"/>
              <w:left w:val="nil"/>
              <w:bottom w:val="single" w:sz="4" w:space="0" w:color="auto"/>
              <w:right w:val="single" w:sz="4" w:space="0" w:color="auto"/>
            </w:tcBorders>
            <w:noWrap/>
            <w:vAlign w:val="center"/>
            <w:hideMark/>
          </w:tcPr>
          <w:p w14:paraId="7FC053D0"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13 482 241,92 </w:t>
            </w:r>
          </w:p>
        </w:tc>
      </w:tr>
      <w:tr w:rsidR="00142A2F" w:rsidRPr="002706C2" w14:paraId="1DEB907F"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3F9849B2"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504FF519"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SPIE BATIGNOLLES FONDATIONS</w:t>
            </w:r>
          </w:p>
        </w:tc>
        <w:tc>
          <w:tcPr>
            <w:tcW w:w="1984" w:type="dxa"/>
            <w:tcBorders>
              <w:top w:val="nil"/>
              <w:left w:val="nil"/>
              <w:bottom w:val="single" w:sz="4" w:space="0" w:color="auto"/>
              <w:right w:val="single" w:sz="4" w:space="0" w:color="auto"/>
            </w:tcBorders>
            <w:noWrap/>
            <w:vAlign w:val="center"/>
            <w:hideMark/>
          </w:tcPr>
          <w:p w14:paraId="267AAC35"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7 490 134,40 </w:t>
            </w:r>
          </w:p>
        </w:tc>
        <w:tc>
          <w:tcPr>
            <w:tcW w:w="1985" w:type="dxa"/>
            <w:tcBorders>
              <w:top w:val="nil"/>
              <w:left w:val="nil"/>
              <w:bottom w:val="single" w:sz="4" w:space="0" w:color="auto"/>
              <w:right w:val="single" w:sz="4" w:space="0" w:color="auto"/>
            </w:tcBorders>
            <w:noWrap/>
            <w:vAlign w:val="center"/>
            <w:hideMark/>
          </w:tcPr>
          <w:p w14:paraId="4B2D24DA"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8 988 161,28 </w:t>
            </w:r>
          </w:p>
        </w:tc>
      </w:tr>
      <w:tr w:rsidR="00142A2F" w:rsidRPr="002706C2" w14:paraId="12B5F3E6"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71130EAF"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03273269"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CAPOCCI</w:t>
            </w:r>
          </w:p>
        </w:tc>
        <w:tc>
          <w:tcPr>
            <w:tcW w:w="1984" w:type="dxa"/>
            <w:tcBorders>
              <w:top w:val="nil"/>
              <w:left w:val="nil"/>
              <w:bottom w:val="single" w:sz="4" w:space="0" w:color="auto"/>
              <w:right w:val="single" w:sz="4" w:space="0" w:color="auto"/>
            </w:tcBorders>
            <w:noWrap/>
            <w:vAlign w:val="center"/>
            <w:hideMark/>
          </w:tcPr>
          <w:p w14:paraId="11C589BD"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8 112 456,00 </w:t>
            </w:r>
          </w:p>
        </w:tc>
        <w:tc>
          <w:tcPr>
            <w:tcW w:w="1985" w:type="dxa"/>
            <w:tcBorders>
              <w:top w:val="nil"/>
              <w:left w:val="nil"/>
              <w:bottom w:val="single" w:sz="4" w:space="0" w:color="auto"/>
              <w:right w:val="single" w:sz="4" w:space="0" w:color="auto"/>
            </w:tcBorders>
            <w:noWrap/>
            <w:vAlign w:val="center"/>
            <w:hideMark/>
          </w:tcPr>
          <w:p w14:paraId="6241D5DA"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9 734 947,20 </w:t>
            </w:r>
          </w:p>
        </w:tc>
      </w:tr>
      <w:tr w:rsidR="00142A2F" w:rsidRPr="001F7C91" w14:paraId="39B4E107"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695A8104"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Entreprise lot 02-B passerelle</w:t>
            </w:r>
          </w:p>
        </w:tc>
        <w:tc>
          <w:tcPr>
            <w:tcW w:w="2977" w:type="dxa"/>
            <w:tcBorders>
              <w:top w:val="nil"/>
              <w:left w:val="nil"/>
              <w:bottom w:val="single" w:sz="4" w:space="0" w:color="auto"/>
              <w:right w:val="single" w:sz="4" w:space="0" w:color="auto"/>
            </w:tcBorders>
            <w:noWrap/>
            <w:vAlign w:val="bottom"/>
            <w:hideMark/>
          </w:tcPr>
          <w:p w14:paraId="501454B6" w14:textId="77777777" w:rsidR="00142A2F" w:rsidRPr="002706C2" w:rsidRDefault="00142A2F" w:rsidP="00712C7C">
            <w:pPr>
              <w:rPr>
                <w:rFonts w:ascii="Open Sans" w:hAnsi="Open Sans" w:cs="Open Sans"/>
                <w:sz w:val="18"/>
                <w:szCs w:val="18"/>
              </w:rPr>
            </w:pPr>
            <w:r w:rsidRPr="002706C2">
              <w:rPr>
                <w:rFonts w:ascii="Open Sans" w:hAnsi="Open Sans" w:cs="Open Sans"/>
                <w:sz w:val="18"/>
                <w:szCs w:val="18"/>
              </w:rPr>
              <w:t xml:space="preserve"> EIFFAGE METAL</w:t>
            </w:r>
          </w:p>
        </w:tc>
        <w:tc>
          <w:tcPr>
            <w:tcW w:w="1984" w:type="dxa"/>
            <w:tcBorders>
              <w:top w:val="nil"/>
              <w:left w:val="nil"/>
              <w:bottom w:val="single" w:sz="4" w:space="0" w:color="auto"/>
              <w:right w:val="single" w:sz="4" w:space="0" w:color="auto"/>
            </w:tcBorders>
            <w:noWrap/>
            <w:vAlign w:val="center"/>
            <w:hideMark/>
          </w:tcPr>
          <w:p w14:paraId="3702B74A" w14:textId="77777777" w:rsidR="00142A2F" w:rsidRPr="002706C2" w:rsidRDefault="00142A2F" w:rsidP="00712C7C">
            <w:pPr>
              <w:jc w:val="right"/>
              <w:rPr>
                <w:rFonts w:ascii="Open Sans" w:hAnsi="Open Sans" w:cs="Open Sans"/>
                <w:sz w:val="18"/>
                <w:szCs w:val="18"/>
              </w:rPr>
            </w:pPr>
            <w:r w:rsidRPr="002706C2">
              <w:rPr>
                <w:rFonts w:ascii="Open Sans" w:hAnsi="Open Sans" w:cs="Open Sans"/>
                <w:sz w:val="18"/>
                <w:szCs w:val="18"/>
              </w:rPr>
              <w:t xml:space="preserve">3 387 015,23 </w:t>
            </w:r>
          </w:p>
        </w:tc>
        <w:tc>
          <w:tcPr>
            <w:tcW w:w="1985" w:type="dxa"/>
            <w:tcBorders>
              <w:top w:val="nil"/>
              <w:left w:val="nil"/>
              <w:bottom w:val="single" w:sz="4" w:space="0" w:color="auto"/>
              <w:right w:val="single" w:sz="4" w:space="0" w:color="auto"/>
            </w:tcBorders>
            <w:noWrap/>
            <w:vAlign w:val="center"/>
            <w:hideMark/>
          </w:tcPr>
          <w:p w14:paraId="7E3E5E4E" w14:textId="77777777" w:rsidR="00142A2F" w:rsidRPr="001F7C91" w:rsidRDefault="00142A2F" w:rsidP="00712C7C">
            <w:pPr>
              <w:jc w:val="right"/>
              <w:rPr>
                <w:rFonts w:ascii="Open Sans" w:hAnsi="Open Sans" w:cs="Open Sans"/>
                <w:sz w:val="18"/>
                <w:szCs w:val="18"/>
              </w:rPr>
            </w:pPr>
            <w:r w:rsidRPr="002706C2">
              <w:rPr>
                <w:rFonts w:ascii="Open Sans" w:hAnsi="Open Sans" w:cs="Open Sans"/>
                <w:sz w:val="18"/>
                <w:szCs w:val="18"/>
              </w:rPr>
              <w:t>4 064 418,28</w:t>
            </w:r>
            <w:r w:rsidRPr="001F7C91">
              <w:rPr>
                <w:rFonts w:ascii="Open Sans" w:hAnsi="Open Sans" w:cs="Open Sans"/>
                <w:sz w:val="18"/>
                <w:szCs w:val="18"/>
              </w:rPr>
              <w:t xml:space="preserve"> </w:t>
            </w:r>
          </w:p>
        </w:tc>
      </w:tr>
      <w:tr w:rsidR="00142A2F" w:rsidRPr="001F7C91" w14:paraId="6E3A2CD0" w14:textId="77777777" w:rsidTr="00712C7C">
        <w:trPr>
          <w:trHeight w:val="290"/>
        </w:trPr>
        <w:tc>
          <w:tcPr>
            <w:tcW w:w="3544" w:type="dxa"/>
            <w:tcBorders>
              <w:top w:val="nil"/>
              <w:left w:val="nil"/>
              <w:bottom w:val="nil"/>
              <w:right w:val="nil"/>
            </w:tcBorders>
            <w:noWrap/>
            <w:vAlign w:val="bottom"/>
            <w:hideMark/>
          </w:tcPr>
          <w:p w14:paraId="6B29ABC6" w14:textId="77777777" w:rsidR="00142A2F" w:rsidRPr="001F7C91" w:rsidRDefault="00142A2F" w:rsidP="00712C7C">
            <w:pPr>
              <w:rPr>
                <w:rFonts w:ascii="Open Sans" w:hAnsi="Open Sans" w:cs="Open Sans"/>
                <w:sz w:val="18"/>
                <w:szCs w:val="18"/>
              </w:rPr>
            </w:pPr>
          </w:p>
        </w:tc>
        <w:tc>
          <w:tcPr>
            <w:tcW w:w="2977" w:type="dxa"/>
            <w:tcBorders>
              <w:top w:val="nil"/>
              <w:left w:val="nil"/>
              <w:bottom w:val="nil"/>
              <w:right w:val="nil"/>
            </w:tcBorders>
            <w:noWrap/>
            <w:vAlign w:val="bottom"/>
            <w:hideMark/>
          </w:tcPr>
          <w:p w14:paraId="38AFA9CA" w14:textId="77777777" w:rsidR="00142A2F" w:rsidRPr="001F7C91" w:rsidRDefault="00142A2F" w:rsidP="00712C7C">
            <w:pPr>
              <w:rPr>
                <w:rFonts w:ascii="Open Sans" w:hAnsi="Open Sans" w:cs="Open Sans"/>
                <w:color w:val="auto"/>
                <w:sz w:val="18"/>
                <w:szCs w:val="18"/>
              </w:rPr>
            </w:pPr>
          </w:p>
        </w:tc>
        <w:tc>
          <w:tcPr>
            <w:tcW w:w="1984" w:type="dxa"/>
            <w:tcBorders>
              <w:top w:val="nil"/>
              <w:left w:val="nil"/>
              <w:bottom w:val="nil"/>
              <w:right w:val="nil"/>
            </w:tcBorders>
            <w:noWrap/>
            <w:vAlign w:val="bottom"/>
            <w:hideMark/>
          </w:tcPr>
          <w:p w14:paraId="461182B9" w14:textId="77777777" w:rsidR="00142A2F" w:rsidRPr="001F7C91" w:rsidRDefault="00142A2F" w:rsidP="00712C7C">
            <w:pPr>
              <w:rPr>
                <w:rFonts w:ascii="Open Sans" w:hAnsi="Open Sans" w:cs="Open Sans"/>
                <w:color w:val="auto"/>
                <w:sz w:val="18"/>
                <w:szCs w:val="18"/>
              </w:rPr>
            </w:pPr>
          </w:p>
        </w:tc>
        <w:tc>
          <w:tcPr>
            <w:tcW w:w="1985" w:type="dxa"/>
            <w:tcBorders>
              <w:top w:val="nil"/>
              <w:left w:val="nil"/>
              <w:bottom w:val="nil"/>
              <w:right w:val="nil"/>
            </w:tcBorders>
            <w:noWrap/>
            <w:vAlign w:val="bottom"/>
            <w:hideMark/>
          </w:tcPr>
          <w:p w14:paraId="28D0D2F8" w14:textId="77777777" w:rsidR="00142A2F" w:rsidRPr="001F7C91" w:rsidRDefault="00142A2F" w:rsidP="00712C7C">
            <w:pPr>
              <w:jc w:val="right"/>
              <w:rPr>
                <w:rFonts w:ascii="Open Sans" w:hAnsi="Open Sans" w:cs="Open Sans"/>
                <w:b/>
                <w:bCs/>
                <w:sz w:val="18"/>
                <w:szCs w:val="18"/>
              </w:rPr>
            </w:pPr>
            <w:r w:rsidRPr="001F7C91">
              <w:rPr>
                <w:rFonts w:ascii="Open Sans" w:hAnsi="Open Sans" w:cs="Open Sans"/>
                <w:b/>
                <w:bCs/>
                <w:sz w:val="18"/>
                <w:szCs w:val="18"/>
              </w:rPr>
              <w:t xml:space="preserve">121 777 723,96 </w:t>
            </w:r>
          </w:p>
        </w:tc>
      </w:tr>
    </w:tbl>
    <w:p w14:paraId="48D614A8" w14:textId="77777777" w:rsidR="00142A2F" w:rsidRDefault="00142A2F" w:rsidP="00142A2F">
      <w:pPr>
        <w:rPr>
          <w:rFonts w:ascii="Open Sans" w:hAnsi="Open Sans" w:cs="Open Sans"/>
          <w:b/>
          <w:bCs/>
          <w:sz w:val="18"/>
          <w:szCs w:val="18"/>
          <w:lang w:eastAsia="en-GB"/>
        </w:rPr>
      </w:pPr>
    </w:p>
    <w:p w14:paraId="57E35CDA" w14:textId="77777777" w:rsidR="00142A2F" w:rsidRDefault="00142A2F" w:rsidP="00142A2F">
      <w:pPr>
        <w:rPr>
          <w:rFonts w:ascii="Open Sans" w:hAnsi="Open Sans" w:cs="Open Sans"/>
          <w:b/>
          <w:bCs/>
          <w:sz w:val="18"/>
          <w:szCs w:val="18"/>
          <w:lang w:eastAsia="en-GB"/>
        </w:rPr>
      </w:pPr>
      <w:r w:rsidRPr="002706C2">
        <w:rPr>
          <w:rFonts w:ascii="Open Sans" w:hAnsi="Open Sans" w:cs="Open Sans"/>
          <w:b/>
          <w:bCs/>
          <w:sz w:val="18"/>
          <w:szCs w:val="18"/>
          <w:lang w:eastAsia="en-GB"/>
        </w:rPr>
        <w:t>La consultation relative au lot 3 C</w:t>
      </w:r>
      <w:r>
        <w:rPr>
          <w:rFonts w:ascii="Open Sans" w:hAnsi="Open Sans" w:cs="Open Sans"/>
          <w:b/>
          <w:bCs/>
          <w:sz w:val="18"/>
          <w:szCs w:val="18"/>
          <w:lang w:eastAsia="en-GB"/>
        </w:rPr>
        <w:t xml:space="preserve"> étant en cours, seuls les candidats admis disposeront de l'enveloppe prévisionnelle. A titre indicatif, l'enveloppe prévisionnelle est supérieure à 830 000 000 €TTC.</w:t>
      </w:r>
    </w:p>
    <w:p w14:paraId="486DFFA5" w14:textId="77777777" w:rsidR="00142A2F" w:rsidRDefault="00142A2F" w:rsidP="00142A2F">
      <w:pPr>
        <w:rPr>
          <w:rFonts w:ascii="Open Sans" w:hAnsi="Open Sans" w:cs="Open Sans"/>
          <w:b/>
          <w:bCs/>
          <w:sz w:val="18"/>
          <w:szCs w:val="18"/>
          <w:lang w:eastAsia="en-GB"/>
        </w:rPr>
      </w:pPr>
      <w:r w:rsidRPr="001F7C91">
        <w:rPr>
          <w:rFonts w:ascii="Open Sans" w:hAnsi="Open Sans" w:cs="Open Sans"/>
          <w:b/>
          <w:bCs/>
          <w:sz w:val="18"/>
          <w:szCs w:val="18"/>
          <w:lang w:eastAsia="en-GB"/>
        </w:rPr>
        <w:fldChar w:fldCharType="end"/>
      </w:r>
    </w:p>
    <w:p w14:paraId="3EF53EB9" w14:textId="77777777" w:rsidR="00142A2F" w:rsidRDefault="00142A2F" w:rsidP="00142A2F">
      <w:pPr>
        <w:rPr>
          <w:rFonts w:ascii="Open Sans" w:hAnsi="Open Sans" w:cs="Open Sans"/>
          <w:b/>
          <w:bCs/>
          <w:sz w:val="18"/>
          <w:szCs w:val="18"/>
          <w:lang w:eastAsia="en-GB"/>
        </w:rPr>
      </w:pPr>
    </w:p>
    <w:p w14:paraId="61741A9E" w14:textId="77777777" w:rsidR="00142A2F" w:rsidRDefault="00142A2F" w:rsidP="00142A2F">
      <w:pPr>
        <w:rPr>
          <w:rFonts w:ascii="Open Sans" w:hAnsi="Open Sans" w:cs="Open Sans"/>
          <w:b/>
          <w:bCs/>
          <w:sz w:val="18"/>
          <w:szCs w:val="18"/>
          <w:lang w:eastAsia="en-GB"/>
        </w:rPr>
      </w:pPr>
    </w:p>
    <w:p w14:paraId="3E2E1051" w14:textId="77777777" w:rsidR="00142A2F" w:rsidRDefault="00142A2F" w:rsidP="00142A2F">
      <w:pPr>
        <w:rPr>
          <w:rFonts w:ascii="Open Sans" w:hAnsi="Open Sans" w:cs="Open Sans"/>
          <w:b/>
          <w:bCs/>
          <w:sz w:val="18"/>
          <w:szCs w:val="18"/>
          <w:lang w:eastAsia="en-GB"/>
        </w:rPr>
      </w:pPr>
    </w:p>
    <w:p w14:paraId="0834C301" w14:textId="77777777" w:rsidR="00142A2F" w:rsidRPr="001F7C91" w:rsidRDefault="00142A2F" w:rsidP="00142A2F">
      <w:pPr>
        <w:rPr>
          <w:rFonts w:ascii="Open Sans" w:hAnsi="Open Sans" w:cs="Open Sans"/>
          <w:b/>
          <w:bCs/>
          <w:sz w:val="18"/>
          <w:szCs w:val="18"/>
          <w:highlight w:val="yellow"/>
          <w:lang w:eastAsia="en-GB"/>
        </w:rPr>
      </w:pPr>
    </w:p>
    <w:p w14:paraId="6B29AD17" w14:textId="77777777" w:rsidR="00142A2F" w:rsidRPr="002706C2" w:rsidRDefault="00142A2F" w:rsidP="00142A2F">
      <w:pPr>
        <w:pStyle w:val="Titre3"/>
        <w:spacing w:after="200"/>
        <w:rPr>
          <w:rFonts w:ascii="Open Sans" w:hAnsi="Open Sans" w:cs="Open Sans"/>
          <w:color w:val="000000" w:themeColor="text1"/>
        </w:rPr>
      </w:pPr>
      <w:bookmarkStart w:id="43" w:name="_Toc237423186"/>
      <w:bookmarkStart w:id="44" w:name="_Toc237529642"/>
      <w:r w:rsidRPr="002706C2">
        <w:rPr>
          <w:rFonts w:ascii="Open Sans" w:hAnsi="Open Sans" w:cs="Open Sans"/>
          <w:color w:val="000000" w:themeColor="text1"/>
        </w:rPr>
        <w:lastRenderedPageBreak/>
        <w:t>Planning previsionnel des travaux</w:t>
      </w:r>
      <w:bookmarkEnd w:id="43"/>
      <w:bookmarkEnd w:id="44"/>
    </w:p>
    <w:p w14:paraId="38E2403F" w14:textId="77777777" w:rsidR="00142A2F" w:rsidRPr="00712C7C" w:rsidRDefault="00142A2F" w:rsidP="00142A2F">
      <w:pPr>
        <w:rPr>
          <w:rFonts w:ascii="Open Sans" w:hAnsi="Open Sans" w:cs="Open Sans"/>
          <w:sz w:val="18"/>
          <w:szCs w:val="18"/>
        </w:rPr>
      </w:pPr>
      <w:r w:rsidRPr="00712C7C">
        <w:rPr>
          <w:rFonts w:ascii="Open Sans" w:hAnsi="Open Sans" w:cs="Open Sans"/>
          <w:sz w:val="18"/>
          <w:szCs w:val="18"/>
        </w:rPr>
        <w:t>Les travaux du projet HUSOGPN sont organisés en deux phases successives :</w:t>
      </w:r>
    </w:p>
    <w:p w14:paraId="5AC77226" w14:textId="77777777" w:rsidR="00142A2F" w:rsidRDefault="00142A2F" w:rsidP="00142A2F"/>
    <w:p w14:paraId="3072FDAA" w14:textId="77777777" w:rsidR="00142A2F" w:rsidRPr="00197BEC" w:rsidRDefault="00142A2F" w:rsidP="00142A2F">
      <w:pPr>
        <w:rPr>
          <w:rFonts w:ascii="Open Sans" w:hAnsi="Open Sans" w:cs="Open Sans"/>
          <w:sz w:val="18"/>
          <w:szCs w:val="18"/>
        </w:rPr>
      </w:pPr>
      <w:r w:rsidRPr="00197BEC">
        <w:rPr>
          <w:rFonts w:ascii="Open Sans" w:hAnsi="Open Sans" w:cs="Open Sans"/>
          <w:sz w:val="18"/>
          <w:szCs w:val="18"/>
        </w:rPr>
        <w:t xml:space="preserve">Des travaux anticipés : </w:t>
      </w:r>
    </w:p>
    <w:p w14:paraId="467A1EC6" w14:textId="77777777" w:rsidR="00142A2F" w:rsidRPr="00197BEC" w:rsidRDefault="00142A2F" w:rsidP="00142A2F">
      <w:pPr>
        <w:rPr>
          <w:rFonts w:ascii="Open Sans" w:hAnsi="Open Sans" w:cs="Open Sans"/>
          <w:sz w:val="18"/>
          <w:szCs w:val="18"/>
        </w:rPr>
      </w:pPr>
      <w:r w:rsidRPr="001F7C91">
        <w:rPr>
          <w:rFonts w:ascii="Open Sans" w:hAnsi="Open Sans" w:cs="Open Sans"/>
          <w:sz w:val="18"/>
          <w:szCs w:val="18"/>
        </w:rPr>
        <w:t>lot 01-A paroi moulée terrassements</w:t>
      </w:r>
      <w:r w:rsidRPr="00197BEC">
        <w:rPr>
          <w:rFonts w:ascii="Open Sans" w:hAnsi="Open Sans" w:cs="Open Sans"/>
          <w:sz w:val="18"/>
          <w:szCs w:val="18"/>
        </w:rPr>
        <w:t xml:space="preserve"> </w:t>
      </w:r>
    </w:p>
    <w:p w14:paraId="55FB7EB9" w14:textId="77777777" w:rsidR="00142A2F" w:rsidRDefault="00142A2F" w:rsidP="00142A2F">
      <w:pPr>
        <w:rPr>
          <w:rFonts w:ascii="Open Sans" w:hAnsi="Open Sans" w:cs="Open Sans"/>
          <w:sz w:val="18"/>
          <w:szCs w:val="18"/>
        </w:rPr>
      </w:pPr>
      <w:r w:rsidRPr="001F7C91">
        <w:rPr>
          <w:rFonts w:ascii="Open Sans" w:hAnsi="Open Sans" w:cs="Open Sans"/>
          <w:sz w:val="18"/>
          <w:szCs w:val="18"/>
        </w:rPr>
        <w:t>lot 02-B passerelle</w:t>
      </w:r>
    </w:p>
    <w:p w14:paraId="2C397585" w14:textId="77777777" w:rsidR="00142A2F" w:rsidRDefault="00142A2F" w:rsidP="00142A2F">
      <w:pPr>
        <w:rPr>
          <w:rFonts w:ascii="Open Sans" w:hAnsi="Open Sans" w:cs="Open Sans"/>
          <w:sz w:val="18"/>
          <w:szCs w:val="18"/>
        </w:rPr>
      </w:pPr>
      <w:r>
        <w:rPr>
          <w:rFonts w:ascii="Open Sans" w:hAnsi="Open Sans" w:cs="Open Sans"/>
          <w:sz w:val="18"/>
          <w:szCs w:val="18"/>
        </w:rPr>
        <w:t>Les lots 01A et 02B ont commencé meurs travaux respectivement en janvier 2026 et février 2026 et seront réceptionnés avec le lot 03-C</w:t>
      </w:r>
    </w:p>
    <w:p w14:paraId="335E41E3" w14:textId="77777777" w:rsidR="00142A2F" w:rsidRPr="00197BEC" w:rsidRDefault="00142A2F" w:rsidP="00142A2F">
      <w:pPr>
        <w:rPr>
          <w:rFonts w:ascii="Open Sans" w:hAnsi="Open Sans" w:cs="Open Sans"/>
          <w:sz w:val="18"/>
          <w:szCs w:val="18"/>
        </w:rPr>
      </w:pPr>
    </w:p>
    <w:p w14:paraId="421281BF" w14:textId="77777777" w:rsidR="00142A2F" w:rsidRDefault="00142A2F" w:rsidP="00142A2F">
      <w:pPr>
        <w:rPr>
          <w:rFonts w:ascii="Open Sans" w:hAnsi="Open Sans" w:cs="Open Sans"/>
          <w:sz w:val="18"/>
          <w:szCs w:val="18"/>
        </w:rPr>
      </w:pPr>
      <w:r>
        <w:rPr>
          <w:rFonts w:ascii="Open Sans" w:hAnsi="Open Sans" w:cs="Open Sans"/>
          <w:sz w:val="18"/>
          <w:szCs w:val="18"/>
        </w:rPr>
        <w:t>Un lot unique construction</w:t>
      </w:r>
    </w:p>
    <w:p w14:paraId="5B0865E2" w14:textId="77777777" w:rsidR="00142A2F" w:rsidRPr="00915366" w:rsidRDefault="00142A2F" w:rsidP="00142A2F">
      <w:pPr>
        <w:widowControl w:val="0"/>
        <w:autoSpaceDE w:val="0"/>
        <w:autoSpaceDN w:val="0"/>
        <w:adjustRightInd w:val="0"/>
        <w:spacing w:line="20" w:lineRule="atLeast"/>
        <w:rPr>
          <w:rFonts w:ascii="Open Sans" w:hAnsi="Open Sans" w:cs="Open Sans"/>
          <w:sz w:val="18"/>
          <w:szCs w:val="18"/>
        </w:rPr>
      </w:pPr>
      <w:r>
        <w:rPr>
          <w:rFonts w:ascii="Open Sans" w:hAnsi="Open Sans" w:cs="Open Sans"/>
          <w:sz w:val="18"/>
          <w:szCs w:val="18"/>
        </w:rPr>
        <w:t xml:space="preserve">lot 03-C construction avec une durée prévisionnelle </w:t>
      </w:r>
      <w:r w:rsidRPr="00915366">
        <w:rPr>
          <w:rFonts w:ascii="Open Sans" w:hAnsi="Open Sans" w:cs="Open Sans"/>
          <w:sz w:val="18"/>
          <w:szCs w:val="18"/>
        </w:rPr>
        <w:t>de 72 mois décomposée de la manière suivante :</w:t>
      </w:r>
    </w:p>
    <w:p w14:paraId="6C3985B6" w14:textId="77777777" w:rsidR="00142A2F" w:rsidRPr="00915366" w:rsidRDefault="00142A2F" w:rsidP="00142A2F">
      <w:pPr>
        <w:widowControl w:val="0"/>
        <w:numPr>
          <w:ilvl w:val="0"/>
          <w:numId w:val="17"/>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Période de préparation de 3 mois : à partir de l’OS de préparation de chantier</w:t>
      </w:r>
    </w:p>
    <w:p w14:paraId="75CB858F" w14:textId="77777777" w:rsidR="00142A2F" w:rsidRPr="00915366" w:rsidRDefault="00142A2F" w:rsidP="00142A2F">
      <w:pPr>
        <w:widowControl w:val="0"/>
        <w:numPr>
          <w:ilvl w:val="0"/>
          <w:numId w:val="17"/>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d’exécution des travaux est de 57 mois à partir de l’OS de démarrage travaux jusqu’à la réception des travaux.</w:t>
      </w:r>
    </w:p>
    <w:p w14:paraId="1BCFB543" w14:textId="77777777" w:rsidR="00142A2F" w:rsidRPr="00915366" w:rsidRDefault="00142A2F" w:rsidP="00142A2F">
      <w:pPr>
        <w:widowControl w:val="0"/>
        <w:numPr>
          <w:ilvl w:val="0"/>
          <w:numId w:val="17"/>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 levée des réserves après réception est de 4 mois maximum avec un phasage par service/zones qui sera défini conjointement entre le maître d’ouvrage/le maître d’œuvre et l’entrepreneur.</w:t>
      </w:r>
    </w:p>
    <w:p w14:paraId="0A699DFD" w14:textId="77777777" w:rsidR="00142A2F" w:rsidRPr="00915366" w:rsidRDefault="00142A2F" w:rsidP="00142A2F">
      <w:pPr>
        <w:widowControl w:val="0"/>
        <w:numPr>
          <w:ilvl w:val="0"/>
          <w:numId w:val="17"/>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 xml:space="preserve">La garantie de parfait achèvement, d’une durée d’un an à compter de la date de réception des travaux et assortie d’éventuelles prolongations de ladite garantie sur demande du Maître d’Ouvrage. </w:t>
      </w:r>
    </w:p>
    <w:bookmarkEnd w:id="36"/>
    <w:p w14:paraId="611480DB" w14:textId="77777777" w:rsidR="001F7C91" w:rsidRPr="001F7C91" w:rsidRDefault="001F7C91" w:rsidP="00934C76">
      <w:pPr>
        <w:pStyle w:val="Normal2"/>
        <w:spacing w:after="200"/>
        <w:ind w:left="0"/>
        <w:rPr>
          <w:rFonts w:ascii="Open Sans" w:hAnsi="Open Sans" w:cs="Open Sans"/>
          <w:color w:val="000000" w:themeColor="text1"/>
          <w:sz w:val="18"/>
          <w:szCs w:val="18"/>
        </w:rPr>
      </w:pPr>
    </w:p>
    <w:p w14:paraId="4989FA67" w14:textId="0AED9379" w:rsidR="001F7C91" w:rsidRPr="002B6FC0" w:rsidRDefault="001F7C91" w:rsidP="00316DF6">
      <w:pPr>
        <w:pStyle w:val="Titre2"/>
      </w:pPr>
      <w:bookmarkStart w:id="45" w:name="_Toc237529643"/>
      <w:r>
        <w:t xml:space="preserve">ASSURANCES </w:t>
      </w:r>
      <w:r w:rsidR="00A37A87">
        <w:t>TOUS RISQUES CHANTIER</w:t>
      </w:r>
      <w:bookmarkEnd w:id="45"/>
    </w:p>
    <w:p w14:paraId="6A8190EE" w14:textId="77777777" w:rsidR="001F7C91" w:rsidRPr="001F7C91" w:rsidRDefault="001F7C91" w:rsidP="001F7C91">
      <w:pPr>
        <w:pStyle w:val="Normal2"/>
        <w:spacing w:after="200"/>
        <w:rPr>
          <w:rFonts w:ascii="Open Sans" w:hAnsi="Open Sans" w:cs="Open Sans"/>
          <w:b/>
          <w:bCs/>
          <w:i w:val="0"/>
          <w:iCs/>
          <w:color w:val="000000" w:themeColor="text1"/>
          <w:sz w:val="18"/>
          <w:szCs w:val="18"/>
          <w:u w:val="single"/>
        </w:rPr>
      </w:pPr>
      <w:r w:rsidRPr="001F7C91">
        <w:rPr>
          <w:rFonts w:ascii="Open Sans" w:hAnsi="Open Sans" w:cs="Open Sans"/>
          <w:b/>
          <w:bCs/>
          <w:i w:val="0"/>
          <w:iCs/>
          <w:color w:val="000000" w:themeColor="text1"/>
          <w:sz w:val="18"/>
          <w:szCs w:val="18"/>
        </w:rPr>
        <w:t xml:space="preserve">Il est précisé que les candidats peuvent proposer des modifications au présent CCP dans le cadre des dispositions du règlement de la consultation, </w:t>
      </w:r>
      <w:r w:rsidRPr="001F7C91">
        <w:rPr>
          <w:rFonts w:ascii="Open Sans" w:hAnsi="Open Sans" w:cs="Open Sans"/>
          <w:b/>
          <w:bCs/>
          <w:i w:val="0"/>
          <w:iCs/>
          <w:color w:val="000000" w:themeColor="text1"/>
          <w:sz w:val="18"/>
          <w:szCs w:val="18"/>
          <w:u w:val="single"/>
        </w:rPr>
        <w:t>mais en aucun cas il est possible de substituer totalement un nouveau texte aux dispositions qui suivent, l’offre serait alors considérée comme irrégulière.</w:t>
      </w:r>
    </w:p>
    <w:p w14:paraId="07A1EB88" w14:textId="5F21AB36" w:rsidR="001F7C91" w:rsidRPr="001F7C91" w:rsidRDefault="001F7C91" w:rsidP="00B3229A">
      <w:pPr>
        <w:pStyle w:val="Titre3"/>
        <w:spacing w:after="200"/>
        <w:rPr>
          <w:rFonts w:ascii="Open Sans" w:hAnsi="Open Sans" w:cs="Open Sans"/>
          <w:color w:val="000000" w:themeColor="text1"/>
        </w:rPr>
      </w:pPr>
      <w:bookmarkStart w:id="46" w:name="_Toc235019136"/>
      <w:bookmarkStart w:id="47" w:name="_Toc237529644"/>
      <w:r w:rsidRPr="001F7C91">
        <w:rPr>
          <w:rFonts w:ascii="Open Sans" w:hAnsi="Open Sans" w:cs="Open Sans"/>
          <w:color w:val="000000" w:themeColor="text1"/>
        </w:rPr>
        <w:t>Souscripteur</w:t>
      </w:r>
      <w:bookmarkEnd w:id="46"/>
      <w:bookmarkEnd w:id="47"/>
    </w:p>
    <w:p w14:paraId="69D5778D"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AP-HP</w:t>
      </w:r>
    </w:p>
    <w:p w14:paraId="3D585070"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55 BOULEVARD DIDEROT</w:t>
      </w:r>
    </w:p>
    <w:p w14:paraId="0012A7F7"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75610 PARIS </w:t>
      </w:r>
    </w:p>
    <w:p w14:paraId="66C268F3"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En qualité de maître d’ouvrage,</w:t>
      </w:r>
    </w:p>
    <w:p w14:paraId="1A411149" w14:textId="0023F722" w:rsidR="001F7C91" w:rsidRPr="001F7C91" w:rsidRDefault="001F7C91" w:rsidP="00B3229A">
      <w:pPr>
        <w:pStyle w:val="Titre3"/>
        <w:spacing w:before="240" w:after="200"/>
        <w:rPr>
          <w:rFonts w:ascii="Open Sans" w:hAnsi="Open Sans" w:cs="Open Sans"/>
          <w:color w:val="000000" w:themeColor="text1"/>
        </w:rPr>
      </w:pPr>
      <w:bookmarkStart w:id="48" w:name="_Toc235019137"/>
      <w:bookmarkStart w:id="49" w:name="_Toc237529645"/>
      <w:r w:rsidRPr="001F7C91">
        <w:rPr>
          <w:rFonts w:ascii="Open Sans" w:hAnsi="Open Sans" w:cs="Open Sans"/>
          <w:color w:val="000000" w:themeColor="text1"/>
        </w:rPr>
        <w:t>Titulaire</w:t>
      </w:r>
      <w:bookmarkEnd w:id="48"/>
      <w:bookmarkEnd w:id="49"/>
    </w:p>
    <w:p w14:paraId="4D40E959"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Société d’assurance seule ou en groupement (agent général ou courtier et d’une société d’assurance) : </w:t>
      </w:r>
    </w:p>
    <w:p w14:paraId="0292BD70" w14:textId="77777777" w:rsidR="00142A2F" w:rsidRPr="001F7C91" w:rsidRDefault="00142A2F" w:rsidP="00142A2F">
      <w:pPr>
        <w:pStyle w:val="Normal2"/>
        <w:spacing w:after="200"/>
        <w:rPr>
          <w:rFonts w:ascii="Open Sans" w:hAnsi="Open Sans" w:cs="Open Sans"/>
          <w:i w:val="0"/>
          <w:iCs/>
          <w:color w:val="000000" w:themeColor="text1"/>
          <w:sz w:val="18"/>
          <w:szCs w:val="18"/>
        </w:rPr>
      </w:pPr>
      <w:bookmarkStart w:id="50" w:name="_Hlk237419194"/>
      <w:bookmarkStart w:id="51" w:name="_Toc235019138"/>
      <w:r w:rsidRPr="002706C2">
        <w:rPr>
          <w:rFonts w:ascii="Open Sans" w:hAnsi="Open Sans" w:cs="Open Sans"/>
          <w:i w:val="0"/>
          <w:iCs/>
          <w:color w:val="000000" w:themeColor="text1"/>
          <w:sz w:val="18"/>
          <w:szCs w:val="18"/>
          <w:highlight w:val="yellow"/>
        </w:rPr>
        <w:t>A remplir impérativement par le candidat</w:t>
      </w:r>
    </w:p>
    <w:p w14:paraId="61C75A7A" w14:textId="21D035E0" w:rsidR="001F7C91" w:rsidRPr="001F7C91" w:rsidRDefault="00A37A87" w:rsidP="00142A2F">
      <w:pPr>
        <w:pStyle w:val="Titre3"/>
        <w:numPr>
          <w:ilvl w:val="0"/>
          <w:numId w:val="0"/>
        </w:numPr>
        <w:spacing w:after="200"/>
        <w:ind w:left="1287" w:hanging="720"/>
        <w:rPr>
          <w:rFonts w:ascii="Open Sans" w:hAnsi="Open Sans" w:cs="Open Sans"/>
          <w:color w:val="000000" w:themeColor="text1"/>
        </w:rPr>
      </w:pPr>
      <w:bookmarkStart w:id="52" w:name="_Toc237529646"/>
      <w:bookmarkEnd w:id="50"/>
      <w:r>
        <w:rPr>
          <w:rFonts w:ascii="Open Sans" w:hAnsi="Open Sans" w:cs="Open Sans"/>
          <w:color w:val="000000" w:themeColor="text1"/>
        </w:rPr>
        <w:t>A</w:t>
      </w:r>
      <w:r w:rsidR="001F7C91" w:rsidRPr="001F7C91">
        <w:rPr>
          <w:rFonts w:ascii="Open Sans" w:hAnsi="Open Sans" w:cs="Open Sans"/>
          <w:color w:val="000000" w:themeColor="text1"/>
        </w:rPr>
        <w:t>s</w:t>
      </w:r>
      <w:bookmarkEnd w:id="51"/>
      <w:r>
        <w:rPr>
          <w:rFonts w:ascii="Open Sans" w:hAnsi="Open Sans" w:cs="Open Sans"/>
          <w:color w:val="000000" w:themeColor="text1"/>
        </w:rPr>
        <w:t>surés</w:t>
      </w:r>
      <w:bookmarkEnd w:id="52"/>
      <w:r w:rsidR="001F7C91" w:rsidRPr="001F7C91">
        <w:rPr>
          <w:rFonts w:ascii="Open Sans" w:hAnsi="Open Sans" w:cs="Open Sans"/>
          <w:color w:val="000000" w:themeColor="text1"/>
        </w:rPr>
        <w:t xml:space="preserve"> </w:t>
      </w:r>
    </w:p>
    <w:p w14:paraId="7BF926EC"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 souscripteur,</w:t>
      </w:r>
    </w:p>
    <w:p w14:paraId="20573861" w14:textId="57EA4DDC"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Maîtres d'ouvrage délégués,</w:t>
      </w:r>
      <w:r w:rsidR="00F01F0C">
        <w:rPr>
          <w:rFonts w:ascii="Open Sans" w:hAnsi="Open Sans" w:cs="Open Sans"/>
          <w:bCs/>
          <w:i w:val="0"/>
          <w:iCs/>
          <w:color w:val="000000" w:themeColor="text1"/>
          <w:sz w:val="18"/>
          <w:szCs w:val="18"/>
        </w:rPr>
        <w:t xml:space="preserve"> </w:t>
      </w:r>
      <w:r w:rsidR="007F78D2">
        <w:rPr>
          <w:rFonts w:ascii="Open Sans" w:hAnsi="Open Sans" w:cs="Open Sans"/>
          <w:bCs/>
          <w:i w:val="0"/>
          <w:iCs/>
          <w:color w:val="000000" w:themeColor="text1"/>
          <w:sz w:val="18"/>
          <w:szCs w:val="18"/>
        </w:rPr>
        <w:t>A</w:t>
      </w:r>
      <w:r w:rsidR="00F01F0C">
        <w:rPr>
          <w:rFonts w:ascii="Open Sans" w:hAnsi="Open Sans" w:cs="Open Sans"/>
          <w:bCs/>
          <w:i w:val="0"/>
          <w:iCs/>
          <w:color w:val="000000" w:themeColor="text1"/>
          <w:sz w:val="18"/>
          <w:szCs w:val="18"/>
        </w:rPr>
        <w:t>ssistants à maîtrise d’ouvrage</w:t>
      </w:r>
    </w:p>
    <w:p w14:paraId="4D1A9277"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Maîtres d'œuvre, notamment Architectes, BET, Ingénieurs, Techniciens ainsi que leurs sous-traitants,</w:t>
      </w:r>
    </w:p>
    <w:p w14:paraId="0F71C609"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entreprises et leurs sous-traitants,</w:t>
      </w:r>
    </w:p>
    <w:p w14:paraId="1AC702D7"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bureaux de contrôle,</w:t>
      </w:r>
    </w:p>
    <w:p w14:paraId="5FC4B517"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fournisseurs s'ils interviennent sur le chantier,</w:t>
      </w:r>
    </w:p>
    <w:p w14:paraId="18641C08" w14:textId="77777777" w:rsidR="00A37A87"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Les conseils, consultants, associés, mandataires, préposés, des intervenants désignés ci-dessus,</w:t>
      </w:r>
    </w:p>
    <w:p w14:paraId="402FD185" w14:textId="3451334C" w:rsidR="001F7C91" w:rsidRPr="00A37A87" w:rsidRDefault="00A37A87" w:rsidP="00316DF6">
      <w:pPr>
        <w:pStyle w:val="Normal2"/>
        <w:numPr>
          <w:ilvl w:val="0"/>
          <w:numId w:val="8"/>
        </w:numPr>
        <w:rPr>
          <w:rFonts w:ascii="Open Sans" w:hAnsi="Open Sans" w:cs="Open Sans"/>
          <w:bCs/>
          <w:i w:val="0"/>
          <w:iCs/>
          <w:color w:val="000000" w:themeColor="text1"/>
          <w:sz w:val="18"/>
          <w:szCs w:val="18"/>
        </w:rPr>
      </w:pPr>
      <w:r w:rsidRPr="00A37A87">
        <w:rPr>
          <w:rFonts w:ascii="Open Sans" w:hAnsi="Open Sans" w:cs="Open Sans"/>
          <w:bCs/>
          <w:i w:val="0"/>
          <w:iCs/>
          <w:color w:val="000000" w:themeColor="text1"/>
          <w:sz w:val="18"/>
          <w:szCs w:val="18"/>
        </w:rPr>
        <w:t>D'une manière générale tout intervenant sur le chantier, même non désigné dans la police.</w:t>
      </w:r>
    </w:p>
    <w:p w14:paraId="73345AB0" w14:textId="385D4F7C" w:rsidR="00A37A87" w:rsidRPr="00A37A87" w:rsidRDefault="00A37A87" w:rsidP="00A37A87">
      <w:pPr>
        <w:pStyle w:val="Titre3"/>
        <w:spacing w:before="240" w:after="200"/>
        <w:rPr>
          <w:rFonts w:ascii="Open Sans" w:hAnsi="Open Sans" w:cs="Open Sans"/>
          <w:color w:val="000000" w:themeColor="text1"/>
        </w:rPr>
      </w:pPr>
      <w:bookmarkStart w:id="53" w:name="_Toc237529647"/>
      <w:r>
        <w:rPr>
          <w:rFonts w:ascii="Open Sans" w:hAnsi="Open Sans" w:cs="Open Sans"/>
          <w:color w:val="000000" w:themeColor="text1"/>
        </w:rPr>
        <w:t>Renonciation à recours</w:t>
      </w:r>
      <w:bookmarkEnd w:id="53"/>
    </w:p>
    <w:p w14:paraId="0DE84663" w14:textId="7EB5BB31" w:rsidR="00A37A87" w:rsidRPr="00A37A87" w:rsidRDefault="00A37A87" w:rsidP="00B3229A">
      <w:pPr>
        <w:pStyle w:val="Normal2"/>
        <w:rPr>
          <w:rFonts w:ascii="Open Sans" w:hAnsi="Open Sans" w:cs="Open Sans"/>
          <w:b/>
          <w:bCs/>
          <w:i w:val="0"/>
          <w:iCs/>
          <w:color w:val="000000" w:themeColor="text1"/>
          <w:sz w:val="18"/>
          <w:szCs w:val="18"/>
        </w:rPr>
      </w:pPr>
      <w:r w:rsidRPr="00A37A87">
        <w:rPr>
          <w:rFonts w:ascii="Open Sans" w:hAnsi="Open Sans" w:cs="Open Sans"/>
          <w:i w:val="0"/>
          <w:iCs/>
          <w:sz w:val="18"/>
          <w:szCs w:val="18"/>
          <w:lang w:eastAsia="en-GB"/>
        </w:rPr>
        <w:t>L'assureur du présent contrat renonce à tout recours contre les assurés et assureurs des assurés désignés ci-dessus. Les assureurs pourront exercer un recours contre les fournisseurs n'intervenant pas sur le chantier après préfinancement de la réparation des dommages.</w:t>
      </w:r>
    </w:p>
    <w:p w14:paraId="26E1228F" w14:textId="6EBF0A0E" w:rsidR="00A37A87" w:rsidRPr="00A37A87" w:rsidRDefault="00A37A87" w:rsidP="00A37A87">
      <w:pPr>
        <w:pStyle w:val="Titre3"/>
        <w:spacing w:before="240" w:after="200"/>
        <w:rPr>
          <w:rFonts w:ascii="Open Sans" w:hAnsi="Open Sans" w:cs="Open Sans"/>
          <w:color w:val="000000" w:themeColor="text1"/>
        </w:rPr>
      </w:pPr>
      <w:bookmarkStart w:id="54" w:name="_Toc237529648"/>
      <w:r>
        <w:rPr>
          <w:rFonts w:ascii="Open Sans" w:hAnsi="Open Sans" w:cs="Open Sans"/>
          <w:color w:val="000000" w:themeColor="text1"/>
        </w:rPr>
        <w:lastRenderedPageBreak/>
        <w:t>Le chantier</w:t>
      </w:r>
      <w:bookmarkEnd w:id="54"/>
    </w:p>
    <w:p w14:paraId="3D8F7681" w14:textId="77777777" w:rsidR="00A37A87" w:rsidRPr="00A37A87" w:rsidRDefault="00A37A87" w:rsidP="00A37A87">
      <w:pPr>
        <w:pStyle w:val="Paragraphedeliste"/>
        <w:ind w:left="0"/>
        <w:rPr>
          <w:rFonts w:ascii="Open Sans" w:hAnsi="Open Sans" w:cs="Open Sans"/>
          <w:bCs/>
          <w:sz w:val="18"/>
          <w:szCs w:val="18"/>
          <w:lang w:eastAsia="en-GB"/>
        </w:rPr>
      </w:pPr>
      <w:r w:rsidRPr="00A37A87">
        <w:rPr>
          <w:rFonts w:ascii="Open Sans" w:hAnsi="Open Sans" w:cs="Open Sans"/>
          <w:sz w:val="18"/>
          <w:szCs w:val="18"/>
          <w:lang w:eastAsia="en-GB"/>
        </w:rPr>
        <w:t>Les zones allouées par le Maître d'ouvrage ou ses mandataires à l'ensemble des assurés pour mener à bien la réalisation de l'opération ainsi que tous les sites de stockages et aires de préfabrication, dans la limite de la France Métropolitaine et des pays en zone de Libre Prestation de Service (LPS).</w:t>
      </w:r>
    </w:p>
    <w:p w14:paraId="548215AF" w14:textId="31F1BC43" w:rsidR="00A37A87" w:rsidRPr="00A37A87" w:rsidRDefault="00A37A87" w:rsidP="00A37A87">
      <w:pPr>
        <w:pStyle w:val="Titre3"/>
        <w:spacing w:before="240" w:after="200"/>
        <w:rPr>
          <w:rFonts w:ascii="Open Sans" w:hAnsi="Open Sans" w:cs="Open Sans"/>
          <w:color w:val="000000" w:themeColor="text1"/>
        </w:rPr>
      </w:pPr>
      <w:bookmarkStart w:id="55" w:name="_Toc237529649"/>
      <w:r>
        <w:rPr>
          <w:rFonts w:ascii="Open Sans" w:hAnsi="Open Sans" w:cs="Open Sans"/>
          <w:color w:val="000000" w:themeColor="text1"/>
        </w:rPr>
        <w:t>Bien assurés</w:t>
      </w:r>
      <w:bookmarkEnd w:id="55"/>
    </w:p>
    <w:p w14:paraId="0452121D" w14:textId="77777777" w:rsidR="00A37A87" w:rsidRPr="00A37A87" w:rsidRDefault="00A37A87" w:rsidP="00A37A87">
      <w:pPr>
        <w:pStyle w:val="Normal2"/>
        <w:spacing w:before="240"/>
        <w:ind w:left="0"/>
        <w:rPr>
          <w:rFonts w:ascii="Open Sans" w:hAnsi="Open Sans" w:cs="Open Sans"/>
          <w:b/>
          <w:bCs/>
          <w:i w:val="0"/>
          <w:iCs/>
          <w:color w:val="000000" w:themeColor="text1"/>
          <w:sz w:val="18"/>
          <w:szCs w:val="18"/>
        </w:rPr>
      </w:pPr>
      <w:r w:rsidRPr="00A37A87">
        <w:rPr>
          <w:rFonts w:ascii="Open Sans" w:hAnsi="Open Sans" w:cs="Open Sans"/>
          <w:b/>
          <w:bCs/>
          <w:i w:val="0"/>
          <w:iCs/>
          <w:color w:val="000000" w:themeColor="text1"/>
          <w:sz w:val="18"/>
          <w:szCs w:val="18"/>
        </w:rPr>
        <w:t xml:space="preserve">Les travaux neufs </w:t>
      </w:r>
    </w:p>
    <w:p w14:paraId="5B8D9AE1"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L'ouvrage et les ouvrages provisoires pour autant qu'inclus dans l'assiette de prime exécutés en relation avec l'opération.</w:t>
      </w:r>
    </w:p>
    <w:p w14:paraId="627B9A5B"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Par ouvrage, on entend la totalité des travaux :</w:t>
      </w:r>
    </w:p>
    <w:p w14:paraId="3ADD6F1F"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 xml:space="preserve">En ce compris les travaux préparatoires et auxiliaires de tous genres et natures ainsi que tous les matériaux et fournitures incorporés ou destinés à être incorporés à l'ouvrage, plans, dessins et maquettes ; </w:t>
      </w:r>
    </w:p>
    <w:p w14:paraId="5BFCDED6"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 xml:space="preserve">Edifiés, construits, montés, fournis, installés, réparés, vérifiés ou de façon générale sur lesquels l'assuré intervient, que ces opérations soient achevées ou qu'elles soient en cours, en ce compris les contrôles et essais, de quelque nature qu'ils soient et quel que soit leur nombre ; </w:t>
      </w:r>
    </w:p>
    <w:p w14:paraId="0EFDAB23"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 xml:space="preserve">Sur le chantier y compris pendant déchargement ; </w:t>
      </w:r>
    </w:p>
    <w:p w14:paraId="349B06B4" w14:textId="1F85591C" w:rsidR="00A37A87" w:rsidRPr="00A37A87" w:rsidRDefault="00A37A87" w:rsidP="00A37A87">
      <w:pPr>
        <w:pStyle w:val="Normal2"/>
        <w:spacing w:before="240"/>
        <w:ind w:left="0"/>
        <w:rPr>
          <w:rFonts w:ascii="Open Sans" w:hAnsi="Open Sans" w:cs="Open Sans"/>
          <w:b/>
          <w:bCs/>
          <w:i w:val="0"/>
          <w:iCs/>
          <w:color w:val="000000" w:themeColor="text1"/>
          <w:sz w:val="18"/>
          <w:szCs w:val="18"/>
        </w:rPr>
      </w:pPr>
      <w:r w:rsidRPr="00A37A87">
        <w:rPr>
          <w:rFonts w:ascii="Open Sans" w:hAnsi="Open Sans" w:cs="Open Sans"/>
          <w:b/>
          <w:bCs/>
          <w:i w:val="0"/>
          <w:iCs/>
          <w:color w:val="000000" w:themeColor="text1"/>
          <w:sz w:val="18"/>
          <w:szCs w:val="18"/>
        </w:rPr>
        <w:t xml:space="preserve">Les existants </w:t>
      </w:r>
    </w:p>
    <w:p w14:paraId="3A5CE894"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Sont appelés existants les préexistants, c'est-à-dire les biens immobiliers y compris les équipements, le cas échéant situés sur, sous, dans, contre ou à proximité immédiate du chantier, qui ne font pas partie du marché et qui sont :</w:t>
      </w:r>
    </w:p>
    <w:p w14:paraId="195350A8"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 xml:space="preserve">Soit la propriété du Maître d'Ouvrage au moment de la prise d'effet du contrat ; </w:t>
      </w:r>
    </w:p>
    <w:p w14:paraId="2C49FD2C" w14:textId="77777777" w:rsidR="00A37A87" w:rsidRPr="00A37A87" w:rsidRDefault="00A37A87" w:rsidP="00A37A87">
      <w:pPr>
        <w:rPr>
          <w:rFonts w:ascii="Open Sans" w:hAnsi="Open Sans" w:cs="Open Sans"/>
          <w:sz w:val="18"/>
          <w:szCs w:val="18"/>
          <w:lang w:eastAsia="en-GB"/>
        </w:rPr>
      </w:pPr>
      <w:r w:rsidRPr="00A37A87">
        <w:rPr>
          <w:rFonts w:ascii="Open Sans" w:hAnsi="Open Sans" w:cs="Open Sans"/>
          <w:sz w:val="18"/>
          <w:szCs w:val="18"/>
          <w:lang w:eastAsia="en-GB"/>
        </w:rPr>
        <w:t xml:space="preserve">Soit destinés à devenir leur propriété pendant la période de construction ; </w:t>
      </w:r>
    </w:p>
    <w:p w14:paraId="7D5BA9AF" w14:textId="54022BD8" w:rsidR="00A37A87" w:rsidRPr="00803356" w:rsidRDefault="00803356" w:rsidP="00803356">
      <w:pPr>
        <w:pStyle w:val="Titre3"/>
        <w:spacing w:before="240" w:after="200"/>
        <w:rPr>
          <w:rFonts w:ascii="Open Sans" w:hAnsi="Open Sans" w:cs="Open Sans"/>
          <w:color w:val="000000" w:themeColor="text1"/>
        </w:rPr>
      </w:pPr>
      <w:bookmarkStart w:id="56" w:name="_Toc237529650"/>
      <w:r>
        <w:rPr>
          <w:rFonts w:ascii="Open Sans" w:hAnsi="Open Sans" w:cs="Open Sans"/>
          <w:color w:val="000000" w:themeColor="text1"/>
        </w:rPr>
        <w:t>Période d’assurance</w:t>
      </w:r>
      <w:bookmarkEnd w:id="56"/>
    </w:p>
    <w:p w14:paraId="766CA213" w14:textId="77777777" w:rsidR="00803356" w:rsidRPr="00803356" w:rsidRDefault="00803356" w:rsidP="00803356">
      <w:pPr>
        <w:pStyle w:val="Normal2"/>
        <w:spacing w:before="240"/>
        <w:ind w:left="0"/>
        <w:rPr>
          <w:rFonts w:ascii="Open Sans" w:hAnsi="Open Sans" w:cs="Open Sans"/>
          <w:b/>
          <w:bCs/>
          <w:i w:val="0"/>
          <w:iCs/>
          <w:color w:val="000000" w:themeColor="text1"/>
          <w:sz w:val="18"/>
          <w:szCs w:val="18"/>
        </w:rPr>
      </w:pPr>
      <w:r w:rsidRPr="00803356">
        <w:rPr>
          <w:rFonts w:ascii="Open Sans" w:hAnsi="Open Sans" w:cs="Open Sans"/>
          <w:b/>
          <w:bCs/>
          <w:i w:val="0"/>
          <w:iCs/>
          <w:color w:val="000000" w:themeColor="text1"/>
          <w:sz w:val="18"/>
          <w:szCs w:val="18"/>
        </w:rPr>
        <w:t>Période de construction</w:t>
      </w:r>
    </w:p>
    <w:p w14:paraId="4092B1FB"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Période comprise entre le début des travaux et la date prévisionnelle de réception des ouvrages.</w:t>
      </w:r>
    </w:p>
    <w:p w14:paraId="56C2C66B" w14:textId="77777777" w:rsidR="00803356" w:rsidRPr="00803356" w:rsidRDefault="00803356" w:rsidP="00803356">
      <w:pPr>
        <w:pStyle w:val="Normal2"/>
        <w:spacing w:before="240"/>
        <w:ind w:left="0"/>
        <w:rPr>
          <w:rFonts w:ascii="Open Sans" w:hAnsi="Open Sans" w:cs="Open Sans"/>
          <w:b/>
          <w:bCs/>
          <w:i w:val="0"/>
          <w:iCs/>
          <w:color w:val="000000" w:themeColor="text1"/>
          <w:sz w:val="18"/>
          <w:szCs w:val="18"/>
        </w:rPr>
      </w:pPr>
      <w:r w:rsidRPr="00803356">
        <w:rPr>
          <w:rFonts w:ascii="Open Sans" w:hAnsi="Open Sans" w:cs="Open Sans"/>
          <w:b/>
          <w:bCs/>
          <w:i w:val="0"/>
          <w:iCs/>
          <w:color w:val="000000" w:themeColor="text1"/>
          <w:sz w:val="18"/>
          <w:szCs w:val="18"/>
        </w:rPr>
        <w:t>Période de maintenance</w:t>
      </w:r>
    </w:p>
    <w:p w14:paraId="0942E7B7"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Période commençant à la dernière date de réception et se terminant 12 mois après cette date.</w:t>
      </w:r>
    </w:p>
    <w:p w14:paraId="51295168" w14:textId="451943AC" w:rsidR="00A37A87" w:rsidRPr="00803356" w:rsidRDefault="00803356" w:rsidP="00803356">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57" w:name="_Toc237529651"/>
      <w:r>
        <w:rPr>
          <w:rFonts w:ascii="Open Sans" w:hAnsi="Open Sans" w:cs="Open Sans"/>
          <w:color w:val="000000" w:themeColor="text1"/>
        </w:rPr>
        <w:t>Sinistre</w:t>
      </w:r>
      <w:bookmarkEnd w:id="57"/>
    </w:p>
    <w:p w14:paraId="57B77FD8" w14:textId="196A2E9A" w:rsidR="00A37A87"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Constitue un seul et même sinistre l'ensemble des pertes ou dommages matériels consécutifs à un même évènement ou résultant d’une même cause technique</w:t>
      </w:r>
    </w:p>
    <w:p w14:paraId="10E4F4BC" w14:textId="77777777" w:rsidR="00A37A87" w:rsidRDefault="00A37A87" w:rsidP="00B3229A">
      <w:pPr>
        <w:pStyle w:val="Normal2"/>
        <w:rPr>
          <w:rFonts w:ascii="Open Sans" w:hAnsi="Open Sans" w:cs="Open Sans"/>
          <w:b/>
          <w:bCs/>
          <w:i w:val="0"/>
          <w:iCs/>
          <w:color w:val="000000" w:themeColor="text1"/>
          <w:sz w:val="18"/>
          <w:szCs w:val="18"/>
        </w:rPr>
      </w:pPr>
    </w:p>
    <w:p w14:paraId="62E3A279" w14:textId="1168A159" w:rsidR="005E2F88" w:rsidRPr="002B6FC0" w:rsidRDefault="00142A2F" w:rsidP="00316DF6">
      <w:pPr>
        <w:pStyle w:val="Titre2"/>
      </w:pPr>
      <w:r>
        <w:rPr>
          <w:caps w:val="0"/>
        </w:rPr>
        <w:t> </w:t>
      </w:r>
      <w:bookmarkStart w:id="58" w:name="_Toc237529652"/>
      <w:r>
        <w:rPr>
          <w:caps w:val="0"/>
        </w:rPr>
        <w:t>MONTANT DES GARANTIES ET FRANCHISES</w:t>
      </w:r>
      <w:bookmarkEnd w:id="58"/>
    </w:p>
    <w:p w14:paraId="144CF859" w14:textId="6F1FC37C" w:rsidR="005E2F88" w:rsidRDefault="00803356" w:rsidP="005E2F88">
      <w:pPr>
        <w:pStyle w:val="Titre3"/>
        <w:spacing w:after="200"/>
        <w:rPr>
          <w:rFonts w:ascii="Open Sans" w:hAnsi="Open Sans" w:cs="Open Sans"/>
          <w:color w:val="000000" w:themeColor="text1"/>
        </w:rPr>
      </w:pPr>
      <w:bookmarkStart w:id="59" w:name="_Toc237529653"/>
      <w:r>
        <w:rPr>
          <w:rFonts w:ascii="Open Sans" w:hAnsi="Open Sans" w:cs="Open Sans"/>
          <w:color w:val="000000" w:themeColor="text1"/>
        </w:rPr>
        <w:t>Montant des garanties</w:t>
      </w:r>
      <w:bookmarkEnd w:id="59"/>
    </w:p>
    <w:p w14:paraId="2A9CA214" w14:textId="77777777" w:rsidR="00803356" w:rsidRPr="00803356" w:rsidRDefault="00803356" w:rsidP="00803356">
      <w:pPr>
        <w:pStyle w:val="Titre5"/>
        <w:rPr>
          <w:sz w:val="18"/>
          <w:szCs w:val="18"/>
          <w:lang w:eastAsia="en-GB"/>
        </w:rPr>
      </w:pPr>
      <w:r w:rsidRPr="00803356">
        <w:rPr>
          <w:sz w:val="18"/>
          <w:szCs w:val="18"/>
          <w:lang w:eastAsia="en-GB"/>
        </w:rPr>
        <w:t xml:space="preserve">4.1.1 Engagement de l’assureur </w:t>
      </w:r>
    </w:p>
    <w:p w14:paraId="5602A205"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L'engagement de l'assureur est limité comme suit :</w:t>
      </w:r>
    </w:p>
    <w:p w14:paraId="3E0E81F8" w14:textId="77777777" w:rsidR="00803356" w:rsidRPr="00803356" w:rsidRDefault="00803356" w:rsidP="00803356">
      <w:pPr>
        <w:ind w:right="401"/>
        <w:rPr>
          <w:rFonts w:ascii="Open Sans" w:hAnsi="Open Sans" w:cs="Open Sans"/>
          <w:b/>
          <w:bCs/>
          <w:sz w:val="18"/>
          <w:szCs w:val="18"/>
          <w:u w:val="single"/>
          <w:lang w:eastAsia="en-GB"/>
        </w:rPr>
      </w:pPr>
      <w:r w:rsidRPr="00803356">
        <w:rPr>
          <w:rFonts w:ascii="Open Sans" w:hAnsi="Open Sans" w:cs="Open Sans"/>
          <w:b/>
          <w:bCs/>
          <w:sz w:val="18"/>
          <w:szCs w:val="18"/>
          <w:u w:val="single"/>
          <w:lang w:eastAsia="en-GB"/>
        </w:rPr>
        <w:t xml:space="preserve">Garanties de base : </w:t>
      </w:r>
    </w:p>
    <w:p w14:paraId="4D9CCD00"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Pendant toute la durée du contrat de construction et de maintenance, le montant de la garantie est égal à :</w:t>
      </w:r>
    </w:p>
    <w:p w14:paraId="137164E6" w14:textId="58F824A0" w:rsidR="00803356" w:rsidRPr="00803356" w:rsidRDefault="00803356" w:rsidP="00316DF6">
      <w:pPr>
        <w:pStyle w:val="Paragraphedeliste"/>
        <w:numPr>
          <w:ilvl w:val="0"/>
          <w:numId w:val="10"/>
        </w:numPr>
        <w:suppressAutoHyphens/>
        <w:autoSpaceDE w:val="0"/>
        <w:autoSpaceDN w:val="0"/>
        <w:adjustRightInd w:val="0"/>
        <w:spacing w:after="113" w:line="288" w:lineRule="auto"/>
        <w:ind w:right="401"/>
        <w:jc w:val="left"/>
        <w:textAlignment w:val="center"/>
        <w:rPr>
          <w:rFonts w:ascii="Open Sans" w:hAnsi="Open Sans" w:cs="Open Sans"/>
          <w:sz w:val="18"/>
          <w:szCs w:val="18"/>
          <w:lang w:eastAsia="en-GB"/>
        </w:rPr>
      </w:pPr>
      <w:r w:rsidRPr="00803356">
        <w:rPr>
          <w:rFonts w:ascii="Open Sans" w:hAnsi="Open Sans" w:cs="Open Sans"/>
          <w:sz w:val="18"/>
          <w:szCs w:val="18"/>
          <w:lang w:eastAsia="en-GB"/>
        </w:rPr>
        <w:t xml:space="preserve">SOLUTION DE BASE : 250 000 000 € </w:t>
      </w:r>
      <w:r w:rsidR="007F78D2">
        <w:rPr>
          <w:rFonts w:ascii="Open Sans" w:hAnsi="Open Sans" w:cs="Open Sans"/>
          <w:sz w:val="18"/>
          <w:szCs w:val="18"/>
          <w:lang w:eastAsia="en-GB"/>
        </w:rPr>
        <w:t>Co</w:t>
      </w:r>
    </w:p>
    <w:p w14:paraId="0038949D" w14:textId="77777777" w:rsidR="00803356" w:rsidRPr="00803356" w:rsidRDefault="00803356" w:rsidP="00316DF6">
      <w:pPr>
        <w:pStyle w:val="Paragraphedeliste"/>
        <w:numPr>
          <w:ilvl w:val="0"/>
          <w:numId w:val="10"/>
        </w:numPr>
        <w:suppressAutoHyphens/>
        <w:autoSpaceDE w:val="0"/>
        <w:autoSpaceDN w:val="0"/>
        <w:adjustRightInd w:val="0"/>
        <w:spacing w:after="113" w:line="288" w:lineRule="auto"/>
        <w:ind w:right="401"/>
        <w:jc w:val="left"/>
        <w:textAlignment w:val="center"/>
        <w:rPr>
          <w:rFonts w:ascii="Open Sans" w:hAnsi="Open Sans" w:cs="Open Sans"/>
          <w:sz w:val="18"/>
          <w:szCs w:val="18"/>
          <w:lang w:eastAsia="en-GB"/>
        </w:rPr>
      </w:pPr>
      <w:r w:rsidRPr="00803356">
        <w:rPr>
          <w:rFonts w:ascii="Open Sans" w:hAnsi="Open Sans" w:cs="Open Sans"/>
          <w:sz w:val="18"/>
          <w:szCs w:val="18"/>
          <w:lang w:eastAsia="en-GB"/>
        </w:rPr>
        <w:t xml:space="preserve">VARIANTE : 500 000 000 € </w:t>
      </w:r>
    </w:p>
    <w:p w14:paraId="15AA0256"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Ce montant constitue une LCI (LIMITE CONTRACTUELLE D’INDEMNISATION) par sinistre qui correspond au montant maximum toutes garanties confondues de l’engagement de l’assureur.</w:t>
      </w:r>
    </w:p>
    <w:p w14:paraId="10AD5BF5" w14:textId="77777777" w:rsidR="00142A2F" w:rsidRDefault="00142A2F" w:rsidP="00803356">
      <w:pPr>
        <w:ind w:left="284" w:right="401" w:hanging="284"/>
        <w:rPr>
          <w:rFonts w:ascii="Open Sans" w:hAnsi="Open Sans" w:cs="Open Sans"/>
          <w:sz w:val="18"/>
          <w:szCs w:val="18"/>
          <w:lang w:eastAsia="en-GB"/>
        </w:rPr>
      </w:pPr>
    </w:p>
    <w:p w14:paraId="58C72819" w14:textId="77777777" w:rsidR="00142A2F" w:rsidRDefault="00142A2F" w:rsidP="00803356">
      <w:pPr>
        <w:ind w:left="284" w:right="401" w:hanging="284"/>
        <w:rPr>
          <w:rFonts w:ascii="Open Sans" w:hAnsi="Open Sans" w:cs="Open Sans"/>
          <w:sz w:val="18"/>
          <w:szCs w:val="18"/>
          <w:lang w:eastAsia="en-GB"/>
        </w:rPr>
      </w:pPr>
    </w:p>
    <w:p w14:paraId="7C06EB65" w14:textId="77777777" w:rsidR="00142A2F" w:rsidRDefault="00142A2F" w:rsidP="00803356">
      <w:pPr>
        <w:ind w:left="284" w:right="401" w:hanging="284"/>
        <w:rPr>
          <w:rFonts w:ascii="Open Sans" w:hAnsi="Open Sans" w:cs="Open Sans"/>
          <w:sz w:val="18"/>
          <w:szCs w:val="18"/>
          <w:lang w:eastAsia="en-GB"/>
        </w:rPr>
      </w:pPr>
    </w:p>
    <w:p w14:paraId="716CD670" w14:textId="77777777" w:rsidR="00142A2F" w:rsidRDefault="00142A2F" w:rsidP="00803356">
      <w:pPr>
        <w:ind w:left="284" w:right="401" w:hanging="284"/>
        <w:rPr>
          <w:rFonts w:ascii="Open Sans" w:hAnsi="Open Sans" w:cs="Open Sans"/>
          <w:sz w:val="18"/>
          <w:szCs w:val="18"/>
          <w:lang w:eastAsia="en-GB"/>
        </w:rPr>
      </w:pPr>
    </w:p>
    <w:p w14:paraId="362852AB" w14:textId="776B8191" w:rsidR="00803356" w:rsidRPr="00803356" w:rsidRDefault="00803356" w:rsidP="00803356">
      <w:pPr>
        <w:ind w:left="284" w:right="401" w:hanging="284"/>
        <w:rPr>
          <w:rFonts w:ascii="Open Sans" w:hAnsi="Open Sans" w:cs="Open Sans"/>
          <w:b/>
          <w:sz w:val="18"/>
          <w:szCs w:val="18"/>
          <w:u w:val="single"/>
          <w:lang w:eastAsia="en-GB"/>
        </w:rPr>
      </w:pPr>
      <w:r w:rsidRPr="00803356">
        <w:rPr>
          <w:rFonts w:ascii="Open Sans" w:hAnsi="Open Sans" w:cs="Open Sans"/>
          <w:b/>
          <w:sz w:val="18"/>
          <w:szCs w:val="18"/>
          <w:u w:val="single"/>
          <w:lang w:eastAsia="en-GB"/>
        </w:rPr>
        <w:lastRenderedPageBreak/>
        <w:t xml:space="preserve">Garanties annexes : </w:t>
      </w:r>
    </w:p>
    <w:p w14:paraId="43F83F85"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ab/>
      </w:r>
    </w:p>
    <w:tbl>
      <w:tblPr>
        <w:tblStyle w:val="Grilledutableau"/>
        <w:tblW w:w="0" w:type="auto"/>
        <w:jc w:val="center"/>
        <w:tblLook w:val="04A0" w:firstRow="1" w:lastRow="0" w:firstColumn="1" w:lastColumn="0" w:noHBand="0" w:noVBand="1"/>
      </w:tblPr>
      <w:tblGrid>
        <w:gridCol w:w="5240"/>
        <w:gridCol w:w="2693"/>
      </w:tblGrid>
      <w:tr w:rsidR="00803356" w:rsidRPr="00803356" w14:paraId="6308C9DD" w14:textId="77777777" w:rsidTr="008D638F">
        <w:trPr>
          <w:trHeight w:val="285"/>
          <w:jc w:val="center"/>
        </w:trPr>
        <w:tc>
          <w:tcPr>
            <w:tcW w:w="5240" w:type="dxa"/>
            <w:noWrap/>
            <w:hideMark/>
          </w:tcPr>
          <w:p w14:paraId="25A9B5B9" w14:textId="77777777" w:rsidR="00803356" w:rsidRPr="00803356" w:rsidRDefault="00803356" w:rsidP="008D638F">
            <w:pPr>
              <w:tabs>
                <w:tab w:val="left" w:pos="6804"/>
              </w:tabs>
              <w:ind w:right="401"/>
              <w:rPr>
                <w:rFonts w:ascii="Open Sans" w:hAnsi="Open Sans" w:cs="Open Sans"/>
                <w:sz w:val="18"/>
                <w:szCs w:val="18"/>
                <w:lang w:eastAsia="en-GB"/>
              </w:rPr>
            </w:pPr>
            <w:r w:rsidRPr="00803356">
              <w:rPr>
                <w:rFonts w:ascii="Open Sans" w:hAnsi="Open Sans" w:cs="Open Sans"/>
                <w:sz w:val="18"/>
                <w:szCs w:val="18"/>
                <w:lang w:eastAsia="en-GB"/>
              </w:rPr>
              <w:t xml:space="preserve">Frais de déblais et de démolition (article X.2.2) : </w:t>
            </w:r>
          </w:p>
        </w:tc>
        <w:tc>
          <w:tcPr>
            <w:tcW w:w="2693" w:type="dxa"/>
            <w:noWrap/>
            <w:hideMark/>
          </w:tcPr>
          <w:p w14:paraId="7AAD3CF7" w14:textId="77777777" w:rsidR="00803356" w:rsidRPr="00803356" w:rsidRDefault="00803356" w:rsidP="008D638F">
            <w:pPr>
              <w:tabs>
                <w:tab w:val="left" w:pos="6804"/>
              </w:tabs>
              <w:ind w:right="401"/>
              <w:rPr>
                <w:rFonts w:ascii="Open Sans" w:hAnsi="Open Sans" w:cs="Open Sans"/>
                <w:sz w:val="18"/>
                <w:szCs w:val="18"/>
                <w:lang w:eastAsia="en-GB"/>
              </w:rPr>
            </w:pPr>
            <w:r w:rsidRPr="00803356">
              <w:rPr>
                <w:rFonts w:ascii="Open Sans" w:hAnsi="Open Sans" w:cs="Open Sans"/>
                <w:sz w:val="18"/>
                <w:szCs w:val="18"/>
                <w:lang w:eastAsia="en-GB"/>
              </w:rPr>
              <w:t>10% du montant de la LCI, intervenant en sus du montant de la garantie de base visée ci-dessus.</w:t>
            </w:r>
          </w:p>
        </w:tc>
      </w:tr>
      <w:tr w:rsidR="00803356" w:rsidRPr="00803356" w14:paraId="0F3076A1" w14:textId="77777777" w:rsidTr="008D638F">
        <w:trPr>
          <w:trHeight w:val="570"/>
          <w:jc w:val="center"/>
        </w:trPr>
        <w:tc>
          <w:tcPr>
            <w:tcW w:w="5240" w:type="dxa"/>
            <w:hideMark/>
          </w:tcPr>
          <w:p w14:paraId="6335001F" w14:textId="77777777" w:rsidR="00803356" w:rsidRPr="00803356" w:rsidRDefault="00803356" w:rsidP="008D638F">
            <w:pPr>
              <w:tabs>
                <w:tab w:val="left" w:pos="6804"/>
              </w:tabs>
              <w:ind w:right="401"/>
              <w:rPr>
                <w:rFonts w:ascii="Open Sans" w:hAnsi="Open Sans" w:cs="Open Sans"/>
                <w:sz w:val="18"/>
                <w:szCs w:val="18"/>
                <w:lang w:eastAsia="en-GB"/>
              </w:rPr>
            </w:pPr>
            <w:r w:rsidRPr="00803356">
              <w:rPr>
                <w:rFonts w:ascii="Open Sans" w:hAnsi="Open Sans" w:cs="Open Sans"/>
                <w:sz w:val="18"/>
                <w:szCs w:val="18"/>
                <w:lang w:eastAsia="en-GB"/>
              </w:rPr>
              <w:t xml:space="preserve">Mesures conservatoires ou menace grave et imminente d'effondrement (article X.2.3) : </w:t>
            </w:r>
          </w:p>
        </w:tc>
        <w:tc>
          <w:tcPr>
            <w:tcW w:w="2693" w:type="dxa"/>
            <w:noWrap/>
            <w:hideMark/>
          </w:tcPr>
          <w:p w14:paraId="03528121" w14:textId="77777777" w:rsidR="00803356" w:rsidRPr="00803356" w:rsidRDefault="00803356" w:rsidP="008D638F">
            <w:pPr>
              <w:tabs>
                <w:tab w:val="left" w:pos="6804"/>
              </w:tabs>
              <w:ind w:right="401"/>
              <w:rPr>
                <w:rFonts w:ascii="Open Sans" w:hAnsi="Open Sans" w:cs="Open Sans"/>
                <w:sz w:val="18"/>
                <w:szCs w:val="18"/>
                <w:lang w:eastAsia="en-GB"/>
              </w:rPr>
            </w:pPr>
            <w:r w:rsidRPr="00803356">
              <w:rPr>
                <w:rFonts w:ascii="Open Sans" w:hAnsi="Open Sans" w:cs="Open Sans"/>
                <w:sz w:val="18"/>
                <w:szCs w:val="18"/>
                <w:lang w:eastAsia="en-GB"/>
              </w:rPr>
              <w:t>10% du montant de la LCI, intervenant en sus du montant de la garantie de base visée ci-dessus.</w:t>
            </w:r>
          </w:p>
        </w:tc>
      </w:tr>
      <w:tr w:rsidR="00803356" w:rsidRPr="00803356" w14:paraId="1E7AB830" w14:textId="77777777" w:rsidTr="008D638F">
        <w:trPr>
          <w:trHeight w:val="570"/>
          <w:jc w:val="center"/>
        </w:trPr>
        <w:tc>
          <w:tcPr>
            <w:tcW w:w="5240" w:type="dxa"/>
            <w:noWrap/>
            <w:hideMark/>
          </w:tcPr>
          <w:p w14:paraId="5143B556" w14:textId="77777777" w:rsidR="00803356" w:rsidRPr="00142A2F"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Frais de réparation provisoire (article X.2.4) :</w:t>
            </w:r>
          </w:p>
        </w:tc>
        <w:tc>
          <w:tcPr>
            <w:tcW w:w="2693" w:type="dxa"/>
            <w:hideMark/>
          </w:tcPr>
          <w:p w14:paraId="2D909396" w14:textId="5C53A2F0" w:rsidR="00803356" w:rsidRPr="00803356" w:rsidRDefault="007F78D2" w:rsidP="008D638F">
            <w:pPr>
              <w:tabs>
                <w:tab w:val="left" w:pos="6804"/>
              </w:tabs>
              <w:ind w:right="316"/>
              <w:rPr>
                <w:rFonts w:ascii="Open Sans" w:hAnsi="Open Sans" w:cs="Open Sans"/>
                <w:sz w:val="18"/>
                <w:szCs w:val="18"/>
                <w:lang w:eastAsia="en-GB"/>
              </w:rPr>
            </w:pPr>
            <w:r w:rsidRPr="00142A2F">
              <w:rPr>
                <w:rFonts w:ascii="Open Sans" w:hAnsi="Open Sans" w:cs="Open Sans"/>
                <w:sz w:val="18"/>
                <w:szCs w:val="18"/>
                <w:lang w:eastAsia="en-GB"/>
              </w:rPr>
              <w:t xml:space="preserve">Compris dans le montant ci-dessus </w:t>
            </w:r>
          </w:p>
        </w:tc>
      </w:tr>
      <w:tr w:rsidR="00803356" w:rsidRPr="00803356" w14:paraId="297723BF" w14:textId="77777777" w:rsidTr="008D638F">
        <w:trPr>
          <w:trHeight w:val="285"/>
          <w:jc w:val="center"/>
        </w:trPr>
        <w:tc>
          <w:tcPr>
            <w:tcW w:w="5240" w:type="dxa"/>
            <w:noWrap/>
            <w:hideMark/>
          </w:tcPr>
          <w:p w14:paraId="64F8C2FB" w14:textId="7C3C2B84"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Honoraires des hommes de l'art (article X.2.5) : </w:t>
            </w:r>
          </w:p>
        </w:tc>
        <w:tc>
          <w:tcPr>
            <w:tcW w:w="2693" w:type="dxa"/>
            <w:noWrap/>
            <w:hideMark/>
          </w:tcPr>
          <w:p w14:paraId="365D0435"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10 % du montant de chaque sinistre pour la durée du contrat compris dans le montant de la garantie visée ci-dessus. </w:t>
            </w:r>
          </w:p>
        </w:tc>
      </w:tr>
      <w:tr w:rsidR="00803356" w:rsidRPr="00803356" w14:paraId="3BC5DD0F" w14:textId="77777777" w:rsidTr="008D638F">
        <w:trPr>
          <w:trHeight w:val="285"/>
          <w:jc w:val="center"/>
        </w:trPr>
        <w:tc>
          <w:tcPr>
            <w:tcW w:w="5240" w:type="dxa"/>
            <w:noWrap/>
            <w:hideMark/>
          </w:tcPr>
          <w:p w14:paraId="5AA31C98"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Honoraires d'expert (article X.2.6) : </w:t>
            </w:r>
          </w:p>
        </w:tc>
        <w:tc>
          <w:tcPr>
            <w:tcW w:w="2693" w:type="dxa"/>
            <w:noWrap/>
            <w:hideMark/>
          </w:tcPr>
          <w:p w14:paraId="3E8CD4A0" w14:textId="7B398649" w:rsidR="00803356" w:rsidRPr="00BD46D1"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75</w:t>
            </w:r>
            <w:r w:rsidR="00F01F0C" w:rsidRPr="00142A2F">
              <w:rPr>
                <w:rFonts w:ascii="Open Sans" w:hAnsi="Open Sans" w:cs="Open Sans"/>
                <w:sz w:val="18"/>
                <w:szCs w:val="18"/>
                <w:lang w:eastAsia="en-GB"/>
              </w:rPr>
              <w:t>0</w:t>
            </w:r>
            <w:r w:rsidRPr="00142A2F">
              <w:rPr>
                <w:rFonts w:ascii="Open Sans" w:hAnsi="Open Sans" w:cs="Open Sans"/>
                <w:sz w:val="18"/>
                <w:szCs w:val="18"/>
                <w:lang w:eastAsia="en-GB"/>
              </w:rPr>
              <w:t xml:space="preserve"> 000 €</w:t>
            </w:r>
            <w:r w:rsidRPr="00BD46D1">
              <w:rPr>
                <w:rFonts w:ascii="Open Sans" w:hAnsi="Open Sans" w:cs="Open Sans"/>
                <w:sz w:val="18"/>
                <w:szCs w:val="18"/>
                <w:lang w:eastAsia="en-GB"/>
              </w:rPr>
              <w:t xml:space="preserve"> </w:t>
            </w:r>
          </w:p>
        </w:tc>
      </w:tr>
      <w:tr w:rsidR="00803356" w:rsidRPr="00803356" w14:paraId="069DB937" w14:textId="77777777" w:rsidTr="008D638F">
        <w:trPr>
          <w:trHeight w:val="285"/>
          <w:jc w:val="center"/>
        </w:trPr>
        <w:tc>
          <w:tcPr>
            <w:tcW w:w="5240" w:type="dxa"/>
            <w:noWrap/>
            <w:hideMark/>
          </w:tcPr>
          <w:p w14:paraId="30BE679C"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Heures supplémentaires (article X.2.8) : </w:t>
            </w:r>
          </w:p>
        </w:tc>
        <w:tc>
          <w:tcPr>
            <w:tcW w:w="2693" w:type="dxa"/>
            <w:noWrap/>
            <w:hideMark/>
          </w:tcPr>
          <w:p w14:paraId="13999960"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10% du montant de la LCI, intervenant compris dans le montant de la garantie de base visée ci-dessus.</w:t>
            </w:r>
          </w:p>
        </w:tc>
      </w:tr>
      <w:tr w:rsidR="00803356" w:rsidRPr="00803356" w14:paraId="7A73DA04" w14:textId="77777777" w:rsidTr="008D638F">
        <w:trPr>
          <w:trHeight w:val="285"/>
          <w:jc w:val="center"/>
        </w:trPr>
        <w:tc>
          <w:tcPr>
            <w:tcW w:w="5240" w:type="dxa"/>
            <w:noWrap/>
            <w:hideMark/>
          </w:tcPr>
          <w:p w14:paraId="6BD73571"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Frais de transport accéléré (article X.2.9) :</w:t>
            </w:r>
          </w:p>
        </w:tc>
        <w:tc>
          <w:tcPr>
            <w:tcW w:w="2693" w:type="dxa"/>
            <w:noWrap/>
            <w:hideMark/>
          </w:tcPr>
          <w:p w14:paraId="3A2A0E50"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10% du montant de la LCI, intervenant en sus du montant de la garantie de base visée ci-dessus.</w:t>
            </w:r>
          </w:p>
        </w:tc>
      </w:tr>
      <w:tr w:rsidR="00803356" w:rsidRPr="00803356" w14:paraId="22D120C2" w14:textId="77777777" w:rsidTr="008D638F">
        <w:trPr>
          <w:trHeight w:val="570"/>
          <w:jc w:val="center"/>
        </w:trPr>
        <w:tc>
          <w:tcPr>
            <w:tcW w:w="5240" w:type="dxa"/>
            <w:noWrap/>
            <w:hideMark/>
          </w:tcPr>
          <w:p w14:paraId="497FCC2E"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Stockage hors site (article X.2.10) : </w:t>
            </w:r>
          </w:p>
        </w:tc>
        <w:tc>
          <w:tcPr>
            <w:tcW w:w="2693" w:type="dxa"/>
            <w:hideMark/>
          </w:tcPr>
          <w:p w14:paraId="46C8DCF3" w14:textId="77777777" w:rsidR="00803356" w:rsidRPr="00BD46D1"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50 000 000 €</w:t>
            </w:r>
          </w:p>
        </w:tc>
      </w:tr>
      <w:tr w:rsidR="00803356" w:rsidRPr="00803356" w14:paraId="5E78629E" w14:textId="77777777" w:rsidTr="008D638F">
        <w:trPr>
          <w:trHeight w:val="570"/>
          <w:jc w:val="center"/>
        </w:trPr>
        <w:tc>
          <w:tcPr>
            <w:tcW w:w="5240" w:type="dxa"/>
            <w:noWrap/>
            <w:hideMark/>
          </w:tcPr>
          <w:p w14:paraId="4BE27B15" w14:textId="77777777" w:rsidR="00803356" w:rsidRPr="00BD46D1" w:rsidRDefault="00803356" w:rsidP="008D638F">
            <w:pPr>
              <w:tabs>
                <w:tab w:val="left" w:pos="6804"/>
              </w:tabs>
              <w:ind w:right="401"/>
              <w:rPr>
                <w:rFonts w:ascii="Open Sans" w:hAnsi="Open Sans" w:cs="Open Sans"/>
                <w:sz w:val="18"/>
                <w:szCs w:val="18"/>
                <w:lang w:eastAsia="en-GB"/>
              </w:rPr>
            </w:pPr>
            <w:r w:rsidRPr="00BD46D1">
              <w:rPr>
                <w:rFonts w:ascii="Open Sans" w:hAnsi="Open Sans" w:cs="Open Sans"/>
                <w:sz w:val="18"/>
                <w:szCs w:val="18"/>
                <w:lang w:eastAsia="en-GB"/>
              </w:rPr>
              <w:t xml:space="preserve">Transport terrestre (article X.2.11) : </w:t>
            </w:r>
          </w:p>
        </w:tc>
        <w:tc>
          <w:tcPr>
            <w:tcW w:w="2693" w:type="dxa"/>
            <w:hideMark/>
          </w:tcPr>
          <w:p w14:paraId="4A98AED8" w14:textId="77777777" w:rsidR="00803356" w:rsidRPr="00BD46D1"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50 000 000 €</w:t>
            </w:r>
          </w:p>
        </w:tc>
      </w:tr>
      <w:tr w:rsidR="00803356" w:rsidRPr="00803356" w14:paraId="61513B83" w14:textId="77777777" w:rsidTr="008D638F">
        <w:trPr>
          <w:trHeight w:val="570"/>
          <w:jc w:val="center"/>
        </w:trPr>
        <w:tc>
          <w:tcPr>
            <w:tcW w:w="5240" w:type="dxa"/>
            <w:noWrap/>
            <w:hideMark/>
          </w:tcPr>
          <w:p w14:paraId="4B6C328C" w14:textId="77777777" w:rsidR="00803356" w:rsidRPr="00142A2F"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 xml:space="preserve">Frais d’inspection (article X.2.12) : </w:t>
            </w:r>
          </w:p>
        </w:tc>
        <w:tc>
          <w:tcPr>
            <w:tcW w:w="2693" w:type="dxa"/>
            <w:hideMark/>
          </w:tcPr>
          <w:p w14:paraId="10DBF4F6" w14:textId="2650C3F9" w:rsidR="00803356" w:rsidRPr="00142A2F"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1</w:t>
            </w:r>
            <w:r w:rsidR="00BD46D1" w:rsidRPr="00142A2F">
              <w:rPr>
                <w:rFonts w:ascii="Open Sans" w:hAnsi="Open Sans" w:cs="Open Sans"/>
                <w:sz w:val="18"/>
                <w:szCs w:val="18"/>
                <w:lang w:eastAsia="en-GB"/>
              </w:rPr>
              <w:t xml:space="preserve"> 0</w:t>
            </w:r>
            <w:r w:rsidRPr="00142A2F">
              <w:rPr>
                <w:rFonts w:ascii="Open Sans" w:hAnsi="Open Sans" w:cs="Open Sans"/>
                <w:sz w:val="18"/>
                <w:szCs w:val="18"/>
                <w:lang w:eastAsia="en-GB"/>
              </w:rPr>
              <w:t>00 000 €</w:t>
            </w:r>
          </w:p>
        </w:tc>
      </w:tr>
      <w:tr w:rsidR="00803356" w:rsidRPr="00803356" w14:paraId="019BE5DF" w14:textId="77777777" w:rsidTr="008D638F">
        <w:trPr>
          <w:trHeight w:val="285"/>
          <w:jc w:val="center"/>
        </w:trPr>
        <w:tc>
          <w:tcPr>
            <w:tcW w:w="5240" w:type="dxa"/>
            <w:noWrap/>
            <w:hideMark/>
          </w:tcPr>
          <w:p w14:paraId="0464E8A2" w14:textId="77777777" w:rsidR="00803356" w:rsidRPr="00142A2F"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 xml:space="preserve">Grèves, émeutes, mouvements populaires (article X.2.13) : </w:t>
            </w:r>
          </w:p>
        </w:tc>
        <w:tc>
          <w:tcPr>
            <w:tcW w:w="2693" w:type="dxa"/>
            <w:noWrap/>
            <w:hideMark/>
          </w:tcPr>
          <w:p w14:paraId="2E3D52BD" w14:textId="037AFF5A" w:rsidR="00803356" w:rsidRPr="00142A2F" w:rsidRDefault="00803356" w:rsidP="008D638F">
            <w:pPr>
              <w:tabs>
                <w:tab w:val="left" w:pos="6804"/>
              </w:tabs>
              <w:ind w:right="401"/>
              <w:rPr>
                <w:rFonts w:ascii="Open Sans" w:hAnsi="Open Sans" w:cs="Open Sans"/>
                <w:sz w:val="18"/>
                <w:szCs w:val="18"/>
                <w:lang w:eastAsia="en-GB"/>
              </w:rPr>
            </w:pPr>
            <w:r w:rsidRPr="00142A2F">
              <w:rPr>
                <w:rFonts w:ascii="Open Sans" w:hAnsi="Open Sans" w:cs="Open Sans"/>
                <w:sz w:val="18"/>
                <w:szCs w:val="18"/>
                <w:lang w:eastAsia="en-GB"/>
              </w:rPr>
              <w:t>1</w:t>
            </w:r>
            <w:r w:rsidR="00BD46D1" w:rsidRPr="00142A2F">
              <w:rPr>
                <w:rFonts w:ascii="Open Sans" w:hAnsi="Open Sans" w:cs="Open Sans"/>
                <w:sz w:val="18"/>
                <w:szCs w:val="18"/>
                <w:lang w:eastAsia="en-GB"/>
              </w:rPr>
              <w:t>0</w:t>
            </w:r>
            <w:r w:rsidRPr="00142A2F">
              <w:rPr>
                <w:rFonts w:ascii="Open Sans" w:hAnsi="Open Sans" w:cs="Open Sans"/>
                <w:sz w:val="18"/>
                <w:szCs w:val="18"/>
                <w:lang w:eastAsia="en-GB"/>
              </w:rPr>
              <w:t xml:space="preserve"> 000 000 € </w:t>
            </w:r>
          </w:p>
        </w:tc>
      </w:tr>
    </w:tbl>
    <w:p w14:paraId="54CE3AE2" w14:textId="77777777" w:rsidR="00803356" w:rsidRPr="00803356" w:rsidRDefault="00803356" w:rsidP="00803356">
      <w:pPr>
        <w:tabs>
          <w:tab w:val="left" w:pos="6804"/>
        </w:tabs>
        <w:ind w:right="401"/>
        <w:rPr>
          <w:rFonts w:ascii="Open Sans" w:hAnsi="Open Sans" w:cs="Open Sans"/>
          <w:sz w:val="18"/>
          <w:szCs w:val="18"/>
          <w:lang w:eastAsia="en-GB"/>
        </w:rPr>
      </w:pPr>
    </w:p>
    <w:p w14:paraId="06B5C3A7"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Sauf précisions contraires les montants de garantie sont épuisables pour la durée de la police.</w:t>
      </w:r>
    </w:p>
    <w:p w14:paraId="0313157F" w14:textId="77777777" w:rsidR="00803356" w:rsidRPr="00803356" w:rsidRDefault="00803356" w:rsidP="00803356">
      <w:pPr>
        <w:pStyle w:val="Titre5"/>
        <w:rPr>
          <w:sz w:val="18"/>
          <w:szCs w:val="18"/>
          <w:lang w:eastAsia="en-GB"/>
        </w:rPr>
      </w:pPr>
      <w:r w:rsidRPr="00803356">
        <w:rPr>
          <w:sz w:val="18"/>
          <w:szCs w:val="18"/>
          <w:lang w:eastAsia="en-GB"/>
        </w:rPr>
        <w:t>4.1.2 Garantie des travaux supplémentaires (Eventuelle)</w:t>
      </w:r>
    </w:p>
    <w:p w14:paraId="0E2C6D8D"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 xml:space="preserve">En cas de travaux supplémentaires, l'assureur garantit automatiquement la valeur réelle de l’ouvrage augmentée de ces travaux supplémentaires dans la limite d'une augmentation de 15 % par rapport au coût prévisionnel déclaré. </w:t>
      </w:r>
    </w:p>
    <w:p w14:paraId="5973677B"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Cette augmentation ne saurait constituer une aggravation des risques au sens de l'article L. 113-4 du Code des assurances.</w:t>
      </w:r>
    </w:p>
    <w:p w14:paraId="3B55BF70" w14:textId="77777777" w:rsidR="00803356" w:rsidRPr="00803356" w:rsidRDefault="00803356" w:rsidP="00803356">
      <w:pPr>
        <w:ind w:right="401"/>
        <w:rPr>
          <w:rFonts w:ascii="Open Sans" w:hAnsi="Open Sans" w:cs="Open Sans"/>
          <w:sz w:val="18"/>
          <w:szCs w:val="18"/>
          <w:lang w:eastAsia="en-GB"/>
        </w:rPr>
      </w:pPr>
      <w:r w:rsidRPr="00803356">
        <w:rPr>
          <w:rFonts w:ascii="Open Sans" w:hAnsi="Open Sans" w:cs="Open Sans"/>
          <w:sz w:val="18"/>
          <w:szCs w:val="18"/>
          <w:lang w:eastAsia="en-GB"/>
        </w:rPr>
        <w:t>Au-delà de ce montant, il appartiendra au souscripteur d'en faire la déclaration à l'assureur afin de définir de nouvelles conditions de garanties.</w:t>
      </w:r>
    </w:p>
    <w:p w14:paraId="7A84F09F" w14:textId="63BA4576" w:rsidR="005E2F88" w:rsidRPr="005E2F88" w:rsidRDefault="00803356" w:rsidP="005E2F88">
      <w:pPr>
        <w:pStyle w:val="Titre3"/>
        <w:spacing w:before="240" w:after="200"/>
        <w:rPr>
          <w:rFonts w:ascii="Open Sans" w:hAnsi="Open Sans" w:cs="Open Sans"/>
          <w:color w:val="000000" w:themeColor="text1"/>
        </w:rPr>
      </w:pPr>
      <w:bookmarkStart w:id="60" w:name="_Toc235019144"/>
      <w:r>
        <w:rPr>
          <w:rFonts w:ascii="Open Sans" w:hAnsi="Open Sans" w:cs="Open Sans"/>
          <w:color w:val="000000" w:themeColor="text1"/>
        </w:rPr>
        <w:t> </w:t>
      </w:r>
      <w:bookmarkStart w:id="61" w:name="_Toc237529654"/>
      <w:r>
        <w:rPr>
          <w:rFonts w:ascii="Open Sans" w:hAnsi="Open Sans" w:cs="Open Sans"/>
          <w:color w:val="000000" w:themeColor="text1"/>
        </w:rPr>
        <w:t>Franchises par</w:t>
      </w:r>
      <w:r w:rsidR="005E2F88" w:rsidRPr="005E2F88">
        <w:rPr>
          <w:rFonts w:ascii="Open Sans" w:hAnsi="Open Sans" w:cs="Open Sans"/>
          <w:color w:val="000000" w:themeColor="text1"/>
        </w:rPr>
        <w:t xml:space="preserve"> sinistres</w:t>
      </w:r>
      <w:bookmarkEnd w:id="60"/>
      <w:bookmarkEnd w:id="61"/>
      <w:r w:rsidR="005E2F88" w:rsidRPr="005E2F88">
        <w:rPr>
          <w:rFonts w:ascii="Open Sans" w:hAnsi="Open Sans" w:cs="Open Sans"/>
          <w:color w:val="000000" w:themeColor="text1"/>
        </w:rPr>
        <w:t xml:space="preserve"> </w:t>
      </w:r>
    </w:p>
    <w:p w14:paraId="17F551E1"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SOLUTION DE BASE :  50 000 €</w:t>
      </w:r>
    </w:p>
    <w:p w14:paraId="3952E58D"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VARIANTE : 100 000 €</w:t>
      </w:r>
    </w:p>
    <w:p w14:paraId="3C3D30A2" w14:textId="36B571CA" w:rsid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lastRenderedPageBreak/>
        <w:t xml:space="preserve">Les franchises s'appliquent par sinistre ; constitue un seul et même sinistre l'ensemble des pertes ou dommages matériels consécutifs à un même ou résultant d’une même cause technique. </w:t>
      </w:r>
    </w:p>
    <w:p w14:paraId="69DB2314" w14:textId="77777777" w:rsidR="00142A2F" w:rsidRPr="00803356" w:rsidRDefault="00142A2F" w:rsidP="00803356">
      <w:pPr>
        <w:rPr>
          <w:rFonts w:ascii="Open Sans" w:hAnsi="Open Sans" w:cs="Open Sans"/>
          <w:sz w:val="18"/>
          <w:szCs w:val="18"/>
          <w:lang w:eastAsia="en-GB"/>
        </w:rPr>
      </w:pPr>
    </w:p>
    <w:p w14:paraId="4C771088" w14:textId="5A125641" w:rsidR="005E2F88" w:rsidRPr="002B6FC0" w:rsidRDefault="00142A2F" w:rsidP="00316DF6">
      <w:pPr>
        <w:pStyle w:val="Titre2"/>
      </w:pPr>
      <w:bookmarkStart w:id="62" w:name="_Toc237529655"/>
      <w:r>
        <w:rPr>
          <w:caps w:val="0"/>
        </w:rPr>
        <w:t>GARANTIES</w:t>
      </w:r>
      <w:bookmarkEnd w:id="62"/>
    </w:p>
    <w:p w14:paraId="2EF3740A" w14:textId="21BFB608" w:rsidR="005E2F88" w:rsidRPr="005E2F88" w:rsidRDefault="00803356" w:rsidP="005E2F88">
      <w:pPr>
        <w:pStyle w:val="Titre3"/>
        <w:spacing w:before="240" w:after="200"/>
        <w:rPr>
          <w:rFonts w:ascii="Open Sans" w:hAnsi="Open Sans" w:cs="Open Sans"/>
          <w:color w:val="000000" w:themeColor="text1"/>
        </w:rPr>
      </w:pPr>
      <w:bookmarkStart w:id="63" w:name="_Toc237529656"/>
      <w:r w:rsidRPr="00803356">
        <w:rPr>
          <w:rFonts w:ascii="Open Sans" w:hAnsi="Open Sans" w:cs="Open Sans"/>
          <w:color w:val="000000" w:themeColor="text1"/>
        </w:rPr>
        <w:t>Pendant la période de travaux/montage/essais</w:t>
      </w:r>
      <w:bookmarkEnd w:id="63"/>
    </w:p>
    <w:p w14:paraId="4F5169FE" w14:textId="02F8F09C" w:rsid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Les frais de réparations/ de remplacement / de remise en état consécutifs à toutes pertes ou dommages matériels quelle qu'en soit l'origine atteignant les biens assurés, y compris le vol.</w:t>
      </w:r>
    </w:p>
    <w:p w14:paraId="2333347D" w14:textId="77777777" w:rsidR="00803356" w:rsidRPr="00803356" w:rsidRDefault="00803356" w:rsidP="00803356">
      <w:pPr>
        <w:rPr>
          <w:rFonts w:ascii="Open Sans" w:hAnsi="Open Sans" w:cs="Open Sans"/>
          <w:sz w:val="18"/>
          <w:szCs w:val="18"/>
          <w:lang w:eastAsia="en-GB"/>
        </w:rPr>
      </w:pPr>
    </w:p>
    <w:p w14:paraId="015C2692" w14:textId="7E717281" w:rsid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En cas de réceptions ou de mises en service échelonnées, sont garantis les frais de réparations consécutifs à toute perte ou tout dommage matériels atteignant les équipements, les ouvrages ou parties d'ouvrages réceptionnés ou mis en service et qui seraient directement la conséquence de l'exécution des travaux ou équipements non encore réceptionnés ou mis en service.</w:t>
      </w:r>
    </w:p>
    <w:p w14:paraId="6142C090" w14:textId="77777777" w:rsidR="00803356" w:rsidRPr="00803356" w:rsidRDefault="00803356" w:rsidP="00803356">
      <w:pPr>
        <w:rPr>
          <w:rFonts w:ascii="Open Sans" w:hAnsi="Open Sans" w:cs="Open Sans"/>
          <w:sz w:val="18"/>
          <w:szCs w:val="18"/>
          <w:lang w:eastAsia="en-GB"/>
        </w:rPr>
      </w:pPr>
    </w:p>
    <w:p w14:paraId="474054BA"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Il est entendu que la garantie demeure acquise en cas de mise à disposition partielle avant réception.</w:t>
      </w:r>
    </w:p>
    <w:p w14:paraId="74DBD276" w14:textId="48AEF969" w:rsidR="005E2F88" w:rsidRPr="005E2F88" w:rsidRDefault="00803356" w:rsidP="005E2F88">
      <w:pPr>
        <w:pStyle w:val="Titre3"/>
        <w:spacing w:before="240" w:after="200"/>
        <w:rPr>
          <w:rFonts w:ascii="Open Sans" w:hAnsi="Open Sans" w:cs="Open Sans"/>
          <w:color w:val="000000" w:themeColor="text1"/>
        </w:rPr>
      </w:pPr>
      <w:bookmarkStart w:id="64" w:name="_Toc235019147"/>
      <w:r>
        <w:rPr>
          <w:rFonts w:ascii="Open Sans" w:hAnsi="Open Sans" w:cs="Open Sans"/>
          <w:color w:val="000000" w:themeColor="text1"/>
        </w:rPr>
        <w:t> </w:t>
      </w:r>
      <w:bookmarkStart w:id="65" w:name="_Toc237529657"/>
      <w:r>
        <w:rPr>
          <w:rFonts w:ascii="Open Sans" w:hAnsi="Open Sans" w:cs="Open Sans"/>
          <w:color w:val="000000" w:themeColor="text1"/>
        </w:rPr>
        <w:t>Pendant la période de maintenance</w:t>
      </w:r>
      <w:bookmarkEnd w:id="64"/>
      <w:bookmarkEnd w:id="65"/>
    </w:p>
    <w:p w14:paraId="7927F01C" w14:textId="4566D3AC" w:rsidR="0049651B" w:rsidRDefault="00803356" w:rsidP="005E2F88">
      <w:pPr>
        <w:rPr>
          <w:rFonts w:ascii="Open Sans" w:hAnsi="Open Sans" w:cs="Open Sans"/>
          <w:sz w:val="18"/>
          <w:szCs w:val="18"/>
          <w:lang w:eastAsia="en-GB"/>
        </w:rPr>
      </w:pPr>
      <w:r w:rsidRPr="00803356">
        <w:rPr>
          <w:rFonts w:ascii="Open Sans" w:hAnsi="Open Sans" w:cs="Open Sans"/>
          <w:sz w:val="18"/>
          <w:szCs w:val="18"/>
          <w:lang w:eastAsia="en-GB"/>
        </w:rPr>
        <w:t>Sont garantis toute destruction, toute perte, tout dommage matériels atteignant les biens assurés, causés par l’assuré lorsqu’il revient sur le site pour exécuter dans le cadre de ses obligations contractuelles tous travaux de finition, mise au point, rectification, réparation y compris levées de réserves</w:t>
      </w:r>
      <w:r>
        <w:rPr>
          <w:rFonts w:ascii="Open Sans" w:hAnsi="Open Sans" w:cs="Open Sans"/>
          <w:sz w:val="18"/>
          <w:szCs w:val="18"/>
          <w:lang w:eastAsia="en-GB"/>
        </w:rPr>
        <w:t>.</w:t>
      </w:r>
    </w:p>
    <w:p w14:paraId="454DC014" w14:textId="3300E19F" w:rsidR="00803356" w:rsidRPr="00803356" w:rsidRDefault="00803356" w:rsidP="00803356">
      <w:pPr>
        <w:pStyle w:val="Titre3"/>
        <w:spacing w:before="240" w:after="200"/>
        <w:rPr>
          <w:rFonts w:ascii="Open Sans" w:hAnsi="Open Sans" w:cs="Open Sans"/>
          <w:color w:val="000000" w:themeColor="text1"/>
        </w:rPr>
      </w:pPr>
      <w:bookmarkStart w:id="66" w:name="_Toc235033086"/>
      <w:bookmarkStart w:id="67" w:name="_Toc237529658"/>
      <w:r w:rsidRPr="00803356">
        <w:rPr>
          <w:rFonts w:ascii="Open Sans" w:hAnsi="Open Sans" w:cs="Open Sans"/>
          <w:color w:val="000000" w:themeColor="text1"/>
        </w:rPr>
        <w:t>Garanties annexes</w:t>
      </w:r>
      <w:bookmarkEnd w:id="66"/>
      <w:bookmarkEnd w:id="67"/>
      <w:r w:rsidRPr="00803356">
        <w:rPr>
          <w:rFonts w:ascii="Open Sans" w:hAnsi="Open Sans" w:cs="Open Sans"/>
          <w:color w:val="000000" w:themeColor="text1"/>
        </w:rPr>
        <w:t xml:space="preserve"> </w:t>
      </w:r>
    </w:p>
    <w:p w14:paraId="52CEA6D1"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3.1</w:t>
      </w:r>
      <w:r w:rsidRPr="003528BA">
        <w:rPr>
          <w:lang w:eastAsia="en-GB"/>
        </w:rPr>
        <w:t xml:space="preserve"> Frais de déblais et de démolition </w:t>
      </w:r>
    </w:p>
    <w:p w14:paraId="5CE27AD0"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Lorsqu’ils sont consécutifs à un sinistre indemnisable, sont également assurés les frais de démolition nettoyage, déblaiement, retirement, sauvetages nécessaires à la réparation, des biens assurés ou pour la poursuite de l'exécution de l'opération.</w:t>
      </w:r>
    </w:p>
    <w:p w14:paraId="778E6410"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2</w:t>
      </w:r>
      <w:r w:rsidRPr="003528BA">
        <w:rPr>
          <w:lang w:eastAsia="en-GB"/>
        </w:rPr>
        <w:t xml:space="preserve"> Mesures conservatoires ou menace grave et imminente d'effondrement</w:t>
      </w:r>
    </w:p>
    <w:p w14:paraId="2CA1A63C"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frais exposés par l'assuré pour faire face à une menace grave et imminente d'effondrement ou pour prévenir l'aggravation ou l'extension d'un événement garantis par la présente police.</w:t>
      </w:r>
    </w:p>
    <w:p w14:paraId="50731F57"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Pour autant que les dépenses engagées par les Assurés permettent d’éviter la survenance d’un dommage garanti et que leur montant ne soit pas supérieur au montant des dommages qui seraient survenus s’ils ne les avaient pas engagés.</w:t>
      </w:r>
    </w:p>
    <w:p w14:paraId="6B863ABF"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3</w:t>
      </w:r>
      <w:r w:rsidRPr="003528BA">
        <w:rPr>
          <w:lang w:eastAsia="en-GB"/>
        </w:rPr>
        <w:t xml:space="preserve"> Frais de réparation provisoire</w:t>
      </w:r>
    </w:p>
    <w:p w14:paraId="1788B20B"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Les frais de réparation provisoire ou de fortune qu'il est nécessaire d'engager pour permettre la poursuite normale du chantier ou pour permettre l'utilisation de l'ouvrage à la date prévue sous réserve de l'accord de l'assureur.</w:t>
      </w:r>
    </w:p>
    <w:p w14:paraId="7222FED3"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4</w:t>
      </w:r>
      <w:r w:rsidRPr="003528BA">
        <w:rPr>
          <w:lang w:eastAsia="en-GB"/>
        </w:rPr>
        <w:t xml:space="preserve"> Honoraires des hommes de l'art </w:t>
      </w:r>
    </w:p>
    <w:p w14:paraId="4396D2A6"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honoraires des hommes de l'art : bureau d'études, d'architectes, d'ingénieurs-conseils, de consultant et tout organisme spécialisé, choisis par l'assuré et chargés des études à la réparation des biens assurés et dus en sus des prestations de Maîtrise d'œuvre inhérentes à ladite réparation.</w:t>
      </w:r>
    </w:p>
    <w:p w14:paraId="0C1BF6A9"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5</w:t>
      </w:r>
      <w:r w:rsidRPr="003528BA">
        <w:rPr>
          <w:lang w:eastAsia="en-GB"/>
        </w:rPr>
        <w:t xml:space="preserve"> Honoraires d'expert </w:t>
      </w:r>
    </w:p>
    <w:p w14:paraId="27D26865"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frais et honoraires d'expert que l'assuré aura lui-même choisi et nommé, sur justificatifs des sommes payées.</w:t>
      </w:r>
    </w:p>
    <w:p w14:paraId="4DFBAA9B" w14:textId="77777777" w:rsidR="00803356" w:rsidRPr="003528BA" w:rsidRDefault="00803356" w:rsidP="00803356">
      <w:pPr>
        <w:pStyle w:val="Titre5"/>
        <w:rPr>
          <w:lang w:eastAsia="en-GB"/>
        </w:rPr>
      </w:pPr>
      <w:r>
        <w:rPr>
          <w:lang w:eastAsia="en-GB"/>
        </w:rPr>
        <w:lastRenderedPageBreak/>
        <w:t>5</w:t>
      </w:r>
      <w:r w:rsidRPr="003528BA">
        <w:rPr>
          <w:lang w:eastAsia="en-GB"/>
        </w:rPr>
        <w:t>.</w:t>
      </w:r>
      <w:r>
        <w:rPr>
          <w:lang w:eastAsia="en-GB"/>
        </w:rPr>
        <w:t>3</w:t>
      </w:r>
      <w:r w:rsidRPr="003528BA">
        <w:rPr>
          <w:lang w:eastAsia="en-GB"/>
        </w:rPr>
        <w:t>.</w:t>
      </w:r>
      <w:r>
        <w:rPr>
          <w:lang w:eastAsia="en-GB"/>
        </w:rPr>
        <w:t>6</w:t>
      </w:r>
      <w:r w:rsidRPr="003528BA">
        <w:rPr>
          <w:lang w:eastAsia="en-GB"/>
        </w:rPr>
        <w:t xml:space="preserve"> </w:t>
      </w:r>
      <w:r>
        <w:rPr>
          <w:lang w:eastAsia="en-GB"/>
        </w:rPr>
        <w:t xml:space="preserve">Heures </w:t>
      </w:r>
      <w:r w:rsidRPr="003528BA">
        <w:rPr>
          <w:lang w:eastAsia="en-GB"/>
        </w:rPr>
        <w:t xml:space="preserve">supplémentaires </w:t>
      </w:r>
    </w:p>
    <w:p w14:paraId="4ACCD3D3"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frais d'heures et de travail exécutés en dehors des heures normales et notamment les frais de main- d'œuvre des dimanches, jours fériés et de nuit.</w:t>
      </w:r>
    </w:p>
    <w:p w14:paraId="2EE7257D"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7</w:t>
      </w:r>
      <w:r w:rsidRPr="003528BA">
        <w:rPr>
          <w:lang w:eastAsia="en-GB"/>
        </w:rPr>
        <w:t xml:space="preserve"> Frais de transport accéléré</w:t>
      </w:r>
    </w:p>
    <w:p w14:paraId="7495EC19"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frais de transport accéléré aérien, fluvial et terrestre nécessaires pour effectuer les réparations nécessaires.</w:t>
      </w:r>
    </w:p>
    <w:p w14:paraId="368F640F"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8</w:t>
      </w:r>
      <w:r w:rsidRPr="003528BA">
        <w:rPr>
          <w:lang w:eastAsia="en-GB"/>
        </w:rPr>
        <w:t xml:space="preserve"> Stockage hors site</w:t>
      </w:r>
    </w:p>
    <w:p w14:paraId="35FE595C"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indemnisés toute perte ou dommage matériels subis par les biens assurés pendant leur stockage provisoire sur des aires mises à disposition du projet ou en entrepôts.</w:t>
      </w:r>
    </w:p>
    <w:p w14:paraId="79B6E3F4"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9</w:t>
      </w:r>
      <w:r w:rsidRPr="003528BA">
        <w:rPr>
          <w:lang w:eastAsia="en-GB"/>
        </w:rPr>
        <w:t xml:space="preserve"> Transport terrestre</w:t>
      </w:r>
    </w:p>
    <w:p w14:paraId="7853F70E"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pris en charge par l’assureur ; toute perte ou dommage matériels subis par les biens assurés en cours de transport terrestre.</w:t>
      </w:r>
    </w:p>
    <w:p w14:paraId="4839D82F"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w:t>
      </w:r>
      <w:r>
        <w:rPr>
          <w:lang w:eastAsia="en-GB"/>
        </w:rPr>
        <w:t>10</w:t>
      </w:r>
      <w:r w:rsidRPr="003528BA">
        <w:rPr>
          <w:lang w:eastAsia="en-GB"/>
        </w:rPr>
        <w:t xml:space="preserve"> Frais d’inspection</w:t>
      </w:r>
    </w:p>
    <w:p w14:paraId="6E2765E7"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Les frais de dépenses qui s’avère nécessaire d’engager par les assurés après accord des assureurs pour contrôler, inspecter, ausculter d’autres ouvrages ou parties d’ouvrages ; à la suite d’un sinistre indemnisable.</w:t>
      </w:r>
    </w:p>
    <w:p w14:paraId="787D3F28"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.1</w:t>
      </w:r>
      <w:r>
        <w:rPr>
          <w:lang w:eastAsia="en-GB"/>
        </w:rPr>
        <w:t>1</w:t>
      </w:r>
      <w:r w:rsidRPr="003528BA">
        <w:rPr>
          <w:lang w:eastAsia="en-GB"/>
        </w:rPr>
        <w:t xml:space="preserve"> Grèves, émeutes, mouvements populaires </w:t>
      </w:r>
    </w:p>
    <w:p w14:paraId="77ECE5A0"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Sont garantis les pertes ou dommages causés à l'occasion de grèves, personnel en lock-out, émeutes, mouvements populaires, que ces actions soient concertées ou non.</w:t>
      </w:r>
    </w:p>
    <w:p w14:paraId="56323451" w14:textId="77777777" w:rsidR="00803356" w:rsidRPr="003528BA" w:rsidRDefault="00803356" w:rsidP="00803356">
      <w:pPr>
        <w:pStyle w:val="Titre5"/>
        <w:rPr>
          <w:lang w:eastAsia="en-GB"/>
        </w:rPr>
      </w:pPr>
      <w:r>
        <w:rPr>
          <w:lang w:eastAsia="en-GB"/>
        </w:rPr>
        <w:t>5</w:t>
      </w:r>
      <w:r w:rsidRPr="003528BA">
        <w:rPr>
          <w:lang w:eastAsia="en-GB"/>
        </w:rPr>
        <w:t>.</w:t>
      </w:r>
      <w:r>
        <w:rPr>
          <w:lang w:eastAsia="en-GB"/>
        </w:rPr>
        <w:t>3</w:t>
      </w:r>
      <w:r w:rsidRPr="003528BA">
        <w:rPr>
          <w:lang w:eastAsia="en-GB"/>
        </w:rPr>
        <w:t>.1</w:t>
      </w:r>
      <w:r>
        <w:rPr>
          <w:lang w:eastAsia="en-GB"/>
        </w:rPr>
        <w:t>2</w:t>
      </w:r>
      <w:r w:rsidRPr="003528BA">
        <w:rPr>
          <w:lang w:eastAsia="en-GB"/>
        </w:rPr>
        <w:t xml:space="preserve"> Actes de terrorisme, sabotages, attentats </w:t>
      </w:r>
    </w:p>
    <w:p w14:paraId="5F0DF7BE"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La garantie du présent contrat est étendue aux conséquences des actes d’attentat et de terrorisme conformément au GAREAT.</w:t>
      </w:r>
    </w:p>
    <w:p w14:paraId="35E61894" w14:textId="0783DFC5" w:rsidR="00803356" w:rsidRPr="00803356" w:rsidRDefault="00803356" w:rsidP="00803356">
      <w:pPr>
        <w:pStyle w:val="Titre3"/>
        <w:spacing w:before="240" w:after="200"/>
        <w:rPr>
          <w:rFonts w:ascii="Open Sans" w:hAnsi="Open Sans" w:cs="Open Sans"/>
          <w:color w:val="000000" w:themeColor="text1"/>
        </w:rPr>
      </w:pPr>
      <w:bookmarkStart w:id="68" w:name="_Toc235033087"/>
      <w:bookmarkStart w:id="69" w:name="_Toc237529659"/>
      <w:r w:rsidRPr="00803356">
        <w:rPr>
          <w:rFonts w:ascii="Open Sans" w:hAnsi="Open Sans" w:cs="Open Sans"/>
          <w:color w:val="000000" w:themeColor="text1"/>
        </w:rPr>
        <w:t>Catastrophes naturelles</w:t>
      </w:r>
      <w:bookmarkEnd w:id="68"/>
      <w:bookmarkEnd w:id="69"/>
      <w:r w:rsidRPr="00803356">
        <w:rPr>
          <w:rFonts w:ascii="Open Sans" w:hAnsi="Open Sans" w:cs="Open Sans"/>
          <w:color w:val="000000" w:themeColor="text1"/>
        </w:rPr>
        <w:t xml:space="preserve"> </w:t>
      </w:r>
    </w:p>
    <w:p w14:paraId="5749B676" w14:textId="6FB13D45"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La garantie du présent contrat est étendue aux conséquences des CATASTROPHES NATURELLES conformément à la loi du 13.07.1982 et aux textes d'application y afférent</w:t>
      </w:r>
      <w:r w:rsidR="00142A2F">
        <w:rPr>
          <w:rFonts w:ascii="Open Sans" w:hAnsi="Open Sans" w:cs="Open Sans"/>
          <w:sz w:val="18"/>
          <w:szCs w:val="18"/>
          <w:lang w:eastAsia="en-GB"/>
        </w:rPr>
        <w:t>.</w:t>
      </w:r>
    </w:p>
    <w:p w14:paraId="41E9BEC2"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La prime additionnelle perçue pour cette extension de garantie est calculée par application du taux fixé par les différents arrêtés découlant de ladite Loi.</w:t>
      </w:r>
    </w:p>
    <w:p w14:paraId="34B1CF6A" w14:textId="72ED9491" w:rsidR="00803356" w:rsidRDefault="00803356" w:rsidP="005E2F88">
      <w:pPr>
        <w:rPr>
          <w:rFonts w:ascii="Open Sans" w:hAnsi="Open Sans" w:cs="Open Sans"/>
          <w:bCs/>
          <w:sz w:val="18"/>
          <w:szCs w:val="18"/>
          <w:lang w:val="fr-BE" w:eastAsia="en-GB"/>
        </w:rPr>
      </w:pPr>
    </w:p>
    <w:p w14:paraId="52EBB816" w14:textId="2B23D818" w:rsidR="00803356" w:rsidRPr="002B6FC0" w:rsidRDefault="00142A2F" w:rsidP="00316DF6">
      <w:pPr>
        <w:pStyle w:val="Titre2"/>
      </w:pPr>
      <w:bookmarkStart w:id="70" w:name="_Toc237529660"/>
      <w:r>
        <w:rPr>
          <w:caps w:val="0"/>
        </w:rPr>
        <w:t>EXCLUSIONS</w:t>
      </w:r>
      <w:bookmarkEnd w:id="70"/>
    </w:p>
    <w:p w14:paraId="484D1A0A" w14:textId="77777777" w:rsidR="00803356" w:rsidRPr="00803356" w:rsidRDefault="00803356" w:rsidP="00803356">
      <w:pPr>
        <w:rPr>
          <w:rFonts w:ascii="Open Sans" w:hAnsi="Open Sans" w:cs="Open Sans"/>
          <w:sz w:val="18"/>
          <w:szCs w:val="18"/>
          <w:lang w:eastAsia="en-GB"/>
        </w:rPr>
      </w:pPr>
      <w:r w:rsidRPr="00803356">
        <w:rPr>
          <w:rFonts w:ascii="Open Sans" w:hAnsi="Open Sans" w:cs="Open Sans"/>
          <w:sz w:val="18"/>
          <w:szCs w:val="18"/>
          <w:lang w:eastAsia="en-GB"/>
        </w:rPr>
        <w:t>Les exclusions suivantes remplacent celles énoncées dans les Conditions Générales et doivent seules être prises en compte.</w:t>
      </w:r>
    </w:p>
    <w:p w14:paraId="00F48494" w14:textId="0A3019C3" w:rsidR="00803356" w:rsidRPr="00803356" w:rsidRDefault="00142A2F" w:rsidP="00B71986">
      <w:pPr>
        <w:pStyle w:val="Titre3"/>
        <w:spacing w:before="240" w:after="200"/>
        <w:rPr>
          <w:rFonts w:ascii="Open Sans" w:hAnsi="Open Sans" w:cs="Open Sans"/>
          <w:color w:val="000000" w:themeColor="text1"/>
        </w:rPr>
      </w:pPr>
      <w:bookmarkStart w:id="71" w:name="_Toc235033089"/>
      <w:bookmarkStart w:id="72" w:name="_Toc237529661"/>
      <w:r w:rsidRPr="00803356">
        <w:rPr>
          <w:rFonts w:ascii="Open Sans" w:hAnsi="Open Sans" w:cs="Open Sans"/>
          <w:color w:val="000000" w:themeColor="text1"/>
        </w:rPr>
        <w:t>Exclusions communes a l'ensemble des garanties</w:t>
      </w:r>
      <w:bookmarkEnd w:id="71"/>
      <w:bookmarkEnd w:id="72"/>
      <w:r w:rsidRPr="00803356">
        <w:rPr>
          <w:rFonts w:ascii="Open Sans" w:hAnsi="Open Sans" w:cs="Open Sans"/>
          <w:color w:val="000000" w:themeColor="text1"/>
        </w:rPr>
        <w:t xml:space="preserve"> </w:t>
      </w:r>
    </w:p>
    <w:p w14:paraId="3F8ECCA0" w14:textId="7BB08427"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6.1.1 </w:t>
      </w:r>
      <w:r w:rsidRPr="00803356">
        <w:rPr>
          <w:rFonts w:ascii="Open Sans" w:hAnsi="Open Sans" w:cs="Open Sans"/>
          <w:b/>
          <w:bCs/>
          <w:sz w:val="18"/>
          <w:szCs w:val="18"/>
          <w:lang w:eastAsia="en-GB"/>
        </w:rPr>
        <w:tab/>
        <w:t>LES PERTES OU DOMMAGES OCCASIONNES PAR LA GUERRE CIVILE OU ETRANGERE.</w:t>
      </w:r>
    </w:p>
    <w:p w14:paraId="3DCAD8BC" w14:textId="77777777" w:rsidR="00B71986" w:rsidRPr="00803356" w:rsidRDefault="00B71986" w:rsidP="00803356">
      <w:pPr>
        <w:rPr>
          <w:rFonts w:ascii="Open Sans" w:hAnsi="Open Sans" w:cs="Open Sans"/>
          <w:b/>
          <w:bCs/>
          <w:sz w:val="18"/>
          <w:szCs w:val="18"/>
          <w:lang w:eastAsia="en-GB"/>
        </w:rPr>
      </w:pPr>
    </w:p>
    <w:p w14:paraId="644CEC11" w14:textId="29E974D9"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6.1.2 </w:t>
      </w:r>
      <w:r w:rsidRPr="00803356">
        <w:rPr>
          <w:rFonts w:ascii="Open Sans" w:hAnsi="Open Sans" w:cs="Open Sans"/>
          <w:b/>
          <w:bCs/>
          <w:sz w:val="18"/>
          <w:szCs w:val="18"/>
          <w:lang w:eastAsia="en-GB"/>
        </w:rPr>
        <w:tab/>
        <w:t>LES PERTES OU DOMMAGES OCCASIONNES PAR LA DESINTEGRATION DU NOYAU ATOMIQUE, C'EST-A-DIRE LES PERTES OU DOMMAGES DE TOUTE NATURE RESULTANT DIRECTEMENT OU INDIRECTEMENT D'EXPLOSION DE CHALEUR, D'IRRADIATIONS, OU DE CONTAMINATION PROVENANT D'UNE TRANSMUTATION DU NOYAU DE L'ATOME ET/OU DE LA RADIOACTIVITE OU RESULTANT DIRECTEMENT OU INDIRECTEMENT DE RADIATIONS PROVOQUEES PAR L'ACCELERATION ARTIFICIELLE DE PARTICULES ATOMIQUES.</w:t>
      </w:r>
    </w:p>
    <w:p w14:paraId="7C34666B" w14:textId="77777777" w:rsidR="00B71986" w:rsidRPr="00803356" w:rsidRDefault="00B71986" w:rsidP="00803356">
      <w:pPr>
        <w:rPr>
          <w:rFonts w:ascii="Open Sans" w:hAnsi="Open Sans" w:cs="Open Sans"/>
          <w:b/>
          <w:bCs/>
          <w:sz w:val="18"/>
          <w:szCs w:val="18"/>
          <w:lang w:eastAsia="en-GB"/>
        </w:rPr>
      </w:pPr>
    </w:p>
    <w:p w14:paraId="76093A97" w14:textId="014A22EB" w:rsidR="00803356" w:rsidRDefault="00803356" w:rsidP="00803356">
      <w:pPr>
        <w:rPr>
          <w:rFonts w:ascii="Open Sans" w:hAnsi="Open Sans" w:cs="Open Sans"/>
          <w:bCs/>
          <w:sz w:val="18"/>
          <w:szCs w:val="18"/>
          <w:lang w:eastAsia="en-GB"/>
        </w:rPr>
      </w:pPr>
      <w:r w:rsidRPr="00803356">
        <w:rPr>
          <w:rFonts w:ascii="Open Sans" w:hAnsi="Open Sans" w:cs="Open Sans"/>
          <w:bCs/>
          <w:sz w:val="18"/>
          <w:szCs w:val="18"/>
          <w:lang w:eastAsia="en-GB"/>
        </w:rPr>
        <w:t>PAR DEROGATION PARTIELLE A CE QUI PRECEDE, NE SONT PAS EXCLUS LES DOMMAGES CAUSES PAR LES SOURCES DE RAYONNEMENTS IONISANTS UTILISEES OU DESTINEES A ETRE UTILISEES HORS D’UNE INSTALLATION NUCLEAIRE, DONT L’ASSURE A LA PROPRIETE, LA GARDE OU L’USAGE ET DETENUE DANS UN ETABLISSEMENT NON-CLASSE AU SENS DE LA LOI (SOURCES CLASSEES PAR LA CIREA : S1, S2 ET L1, L2).</w:t>
      </w:r>
    </w:p>
    <w:p w14:paraId="142A3138" w14:textId="77777777" w:rsidR="00B71986" w:rsidRPr="00803356" w:rsidRDefault="00B71986" w:rsidP="00803356">
      <w:pPr>
        <w:rPr>
          <w:rFonts w:ascii="Open Sans" w:hAnsi="Open Sans" w:cs="Open Sans"/>
          <w:bCs/>
          <w:sz w:val="18"/>
          <w:szCs w:val="18"/>
          <w:lang w:eastAsia="en-GB"/>
        </w:rPr>
      </w:pPr>
    </w:p>
    <w:p w14:paraId="5B199AB4" w14:textId="31AEEC64"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6.1.3 </w:t>
      </w:r>
      <w:r w:rsidRPr="00803356">
        <w:rPr>
          <w:rFonts w:ascii="Open Sans" w:hAnsi="Open Sans" w:cs="Open Sans"/>
          <w:b/>
          <w:bCs/>
          <w:sz w:val="18"/>
          <w:szCs w:val="18"/>
          <w:lang w:eastAsia="en-GB"/>
        </w:rPr>
        <w:tab/>
        <w:t>LES PERTES OU DOMMAGES CAUSES INTENTIONNELLEMENT PAR LES REPRESENTANTS LEGAUX DE L’ASSURE OU AVEC LEUR COMPLICITE.</w:t>
      </w:r>
    </w:p>
    <w:p w14:paraId="1EAF7C67" w14:textId="77777777" w:rsidR="00B71986" w:rsidRPr="00803356" w:rsidRDefault="00B71986" w:rsidP="00803356">
      <w:pPr>
        <w:rPr>
          <w:rFonts w:ascii="Open Sans" w:hAnsi="Open Sans" w:cs="Open Sans"/>
          <w:b/>
          <w:bCs/>
          <w:sz w:val="18"/>
          <w:szCs w:val="18"/>
          <w:lang w:eastAsia="en-GB"/>
        </w:rPr>
      </w:pPr>
    </w:p>
    <w:p w14:paraId="365728E0" w14:textId="77777777" w:rsidR="00B71986" w:rsidRDefault="00803356" w:rsidP="00B7198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6.1.4 </w:t>
      </w:r>
      <w:r w:rsidRPr="00803356">
        <w:rPr>
          <w:rFonts w:ascii="Open Sans" w:hAnsi="Open Sans" w:cs="Open Sans"/>
          <w:b/>
          <w:bCs/>
          <w:sz w:val="18"/>
          <w:szCs w:val="18"/>
          <w:lang w:eastAsia="en-GB"/>
        </w:rPr>
        <w:tab/>
        <w:t>LES PERTES OU DOMMAGES DUS A L'USURE, LA CORROSION, LA ROUILLE, OU UNE DETERIORATION PROGRESSIVE, OU A DES RAYURES SUR DES SURFACES PEINTES OU POLIES ; ETANT ENTENDU QUE RESTENT GARANTIS :</w:t>
      </w:r>
    </w:p>
    <w:p w14:paraId="3A0687ED" w14:textId="078EFC18" w:rsidR="00803356" w:rsidRPr="00803356" w:rsidRDefault="00B71986" w:rsidP="00B71986">
      <w:pPr>
        <w:ind w:left="708"/>
        <w:rPr>
          <w:rFonts w:ascii="Open Sans" w:hAnsi="Open Sans" w:cs="Open Sans"/>
          <w:b/>
          <w:bCs/>
          <w:sz w:val="18"/>
          <w:szCs w:val="18"/>
          <w:lang w:eastAsia="en-GB"/>
        </w:rPr>
      </w:pPr>
      <w:r>
        <w:rPr>
          <w:rFonts w:ascii="Open Sans" w:hAnsi="Open Sans" w:cs="Open Sans"/>
          <w:b/>
          <w:bCs/>
          <w:sz w:val="18"/>
          <w:szCs w:val="18"/>
          <w:lang w:eastAsia="en-GB"/>
        </w:rPr>
        <w:t xml:space="preserve">- </w:t>
      </w:r>
      <w:r w:rsidR="00803356" w:rsidRPr="00803356">
        <w:rPr>
          <w:rFonts w:ascii="Open Sans" w:hAnsi="Open Sans" w:cs="Open Sans"/>
          <w:b/>
          <w:bCs/>
          <w:sz w:val="18"/>
          <w:szCs w:val="18"/>
          <w:lang w:eastAsia="en-GB"/>
        </w:rPr>
        <w:t>LES PERTES OU DOMMAGES EXTERIEURS A LA PARTIE DIRECTEMENT ATTEINTE PAR LEDIT PHENOMENE PROGRESSIF QUI EN EST A L'ORIGINE ;</w:t>
      </w:r>
    </w:p>
    <w:p w14:paraId="279974C7" w14:textId="5CA39E56" w:rsidR="00803356" w:rsidRDefault="00B71986" w:rsidP="00B71986">
      <w:pPr>
        <w:ind w:left="708" w:firstLine="1"/>
        <w:rPr>
          <w:rFonts w:ascii="Open Sans" w:hAnsi="Open Sans" w:cs="Open Sans"/>
          <w:b/>
          <w:bCs/>
          <w:sz w:val="18"/>
          <w:szCs w:val="18"/>
          <w:lang w:eastAsia="en-GB"/>
        </w:rPr>
      </w:pPr>
      <w:r>
        <w:rPr>
          <w:rFonts w:ascii="Open Sans" w:hAnsi="Open Sans" w:cs="Open Sans"/>
          <w:b/>
          <w:bCs/>
          <w:sz w:val="18"/>
          <w:szCs w:val="18"/>
          <w:lang w:eastAsia="en-GB"/>
        </w:rPr>
        <w:t xml:space="preserve">- </w:t>
      </w:r>
      <w:r w:rsidR="00803356" w:rsidRPr="00803356">
        <w:rPr>
          <w:rFonts w:ascii="Open Sans" w:hAnsi="Open Sans" w:cs="Open Sans"/>
          <w:b/>
          <w:bCs/>
          <w:sz w:val="18"/>
          <w:szCs w:val="18"/>
          <w:lang w:eastAsia="en-GB"/>
        </w:rPr>
        <w:t>LES PERTES OU DOMMAGES MEME DIRECTS; CONSECUTIFS A UN EVENEMENT ACCIDENTEL.</w:t>
      </w:r>
    </w:p>
    <w:p w14:paraId="4EC5E666" w14:textId="77777777" w:rsidR="00B71986" w:rsidRPr="00803356" w:rsidRDefault="00B71986" w:rsidP="00803356">
      <w:pPr>
        <w:rPr>
          <w:rFonts w:ascii="Open Sans" w:hAnsi="Open Sans" w:cs="Open Sans"/>
          <w:b/>
          <w:bCs/>
          <w:sz w:val="18"/>
          <w:szCs w:val="18"/>
          <w:lang w:eastAsia="en-GB"/>
        </w:rPr>
      </w:pPr>
    </w:p>
    <w:p w14:paraId="4521CAD0" w14:textId="7811A838"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6.1.5 </w:t>
      </w:r>
      <w:r w:rsidRPr="00803356">
        <w:rPr>
          <w:rFonts w:ascii="Open Sans" w:hAnsi="Open Sans" w:cs="Open Sans"/>
          <w:b/>
          <w:bCs/>
          <w:sz w:val="18"/>
          <w:szCs w:val="18"/>
          <w:lang w:eastAsia="en-GB"/>
        </w:rPr>
        <w:tab/>
        <w:t>LES FRAIS EXPOSES EN VUE DE CORRIGER UN DEFAUT DE CONCEPTION, DE MATIERE OU UNE MALFAÇON, UNE PANNE OU UN DERANGEMENT MECANIQUE OU ELECTRIQUE, AINSI QUE TOUS FRAIS EXPOSES EN VUE D'AMELIORER OU DE MODIFIER LA CONCEPTION, LA MATIERE OU LA MALFAÇON OU D'APPORTER UN PERFECTIONNEMENT QUELCONQUE.</w:t>
      </w:r>
    </w:p>
    <w:p w14:paraId="586F5C10" w14:textId="77777777" w:rsidR="00B71986" w:rsidRPr="00803356" w:rsidRDefault="00B71986" w:rsidP="00803356">
      <w:pPr>
        <w:rPr>
          <w:rFonts w:ascii="Open Sans" w:hAnsi="Open Sans" w:cs="Open Sans"/>
          <w:b/>
          <w:bCs/>
          <w:sz w:val="18"/>
          <w:szCs w:val="18"/>
          <w:lang w:eastAsia="en-GB"/>
        </w:rPr>
      </w:pPr>
    </w:p>
    <w:p w14:paraId="3C6E6335" w14:textId="432BA50F" w:rsidR="00803356" w:rsidRDefault="00803356" w:rsidP="00803356">
      <w:pPr>
        <w:rPr>
          <w:rFonts w:ascii="Open Sans" w:hAnsi="Open Sans" w:cs="Open Sans"/>
          <w:bCs/>
          <w:sz w:val="18"/>
          <w:szCs w:val="18"/>
          <w:lang w:eastAsia="en-GB"/>
        </w:rPr>
      </w:pPr>
      <w:r w:rsidRPr="00803356">
        <w:rPr>
          <w:rFonts w:ascii="Open Sans" w:hAnsi="Open Sans" w:cs="Open Sans"/>
          <w:bCs/>
          <w:sz w:val="18"/>
          <w:szCs w:val="18"/>
          <w:lang w:eastAsia="en-GB"/>
        </w:rPr>
        <w:t>IL EST ENTENDU QUE LA GARANTIE COUVRIRA LES FRAIS DE REPARATION OU DE REMPLACEMENT DES BIENS ASSURES, LES PERTES OU DOMMAGES QUI RESULTERAIENT DES DEFAUTS DE CONCEPTION, MATIERE OU MALFAÇON, PANNE OU DERANGEMENT Y COMPRIS LA PARTIE DEFECTUEUSE OU BRISEE ELLE-MEME.</w:t>
      </w:r>
    </w:p>
    <w:p w14:paraId="7C6802B8" w14:textId="77777777" w:rsidR="00B71986" w:rsidRPr="00803356" w:rsidRDefault="00B71986" w:rsidP="00803356">
      <w:pPr>
        <w:rPr>
          <w:rFonts w:ascii="Open Sans" w:hAnsi="Open Sans" w:cs="Open Sans"/>
          <w:bCs/>
          <w:sz w:val="18"/>
          <w:szCs w:val="18"/>
          <w:lang w:eastAsia="en-GB"/>
        </w:rPr>
      </w:pPr>
    </w:p>
    <w:p w14:paraId="71E0B354" w14:textId="3D3D379E"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6.1.6 </w:t>
      </w:r>
      <w:r w:rsidRPr="00803356">
        <w:rPr>
          <w:rFonts w:ascii="Open Sans" w:hAnsi="Open Sans" w:cs="Open Sans"/>
          <w:b/>
          <w:bCs/>
          <w:sz w:val="18"/>
          <w:szCs w:val="18"/>
          <w:lang w:eastAsia="en-GB"/>
        </w:rPr>
        <w:tab/>
        <w:t>LES PERTES DE JOUISSANCE, LES PREJUDICES IMMATERIELS AINSI QUE LES PENALITES CONTRACTUELLES.</w:t>
      </w:r>
    </w:p>
    <w:p w14:paraId="708B7C17" w14:textId="77777777" w:rsidR="00B71986" w:rsidRPr="00803356" w:rsidRDefault="00B71986" w:rsidP="00803356">
      <w:pPr>
        <w:rPr>
          <w:rFonts w:ascii="Open Sans" w:hAnsi="Open Sans" w:cs="Open Sans"/>
          <w:b/>
          <w:bCs/>
          <w:sz w:val="18"/>
          <w:szCs w:val="18"/>
          <w:lang w:eastAsia="en-GB"/>
        </w:rPr>
      </w:pPr>
    </w:p>
    <w:p w14:paraId="544C9DDE" w14:textId="32247A70"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6.1.7 </w:t>
      </w:r>
      <w:r w:rsidRPr="00803356">
        <w:rPr>
          <w:rFonts w:ascii="Open Sans" w:hAnsi="Open Sans" w:cs="Open Sans"/>
          <w:b/>
          <w:bCs/>
          <w:sz w:val="18"/>
          <w:szCs w:val="18"/>
          <w:lang w:eastAsia="en-GB"/>
        </w:rPr>
        <w:tab/>
        <w:t>LES PERTES OU MANQUANTS DECOUVERTS LORS D'UN INVENTAIRE.</w:t>
      </w:r>
    </w:p>
    <w:p w14:paraId="3C79ECBC" w14:textId="77777777" w:rsidR="00B71986" w:rsidRPr="00803356" w:rsidRDefault="00B71986" w:rsidP="00803356">
      <w:pPr>
        <w:rPr>
          <w:rFonts w:ascii="Open Sans" w:hAnsi="Open Sans" w:cs="Open Sans"/>
          <w:b/>
          <w:bCs/>
          <w:sz w:val="18"/>
          <w:szCs w:val="18"/>
          <w:lang w:eastAsia="en-GB"/>
        </w:rPr>
      </w:pPr>
    </w:p>
    <w:p w14:paraId="1A512D56" w14:textId="2C7BBE2B"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6.1.8 </w:t>
      </w:r>
      <w:r w:rsidRPr="00803356">
        <w:rPr>
          <w:rFonts w:ascii="Open Sans" w:hAnsi="Open Sans" w:cs="Open Sans"/>
          <w:b/>
          <w:bCs/>
          <w:sz w:val="18"/>
          <w:szCs w:val="18"/>
          <w:lang w:eastAsia="en-GB"/>
        </w:rPr>
        <w:tab/>
        <w:t>LES PERTES OU DOMMAGES ATTEIGNANT LES BIENS ASSURES LORSQUE LE SINISTRE TROUVE SON ORIGINE DANS LA CAUSE DES RESERVES ECRITES EMISES PAR LE BUREAU DE CONTROLE OU LE MAITRE D'OEUVRE, SI CES RESERVES N'ONT PAS ETE LEVEES OU S'IL EST PROUVE, A DIRE D'EXPERT, QUE L'ASSURE CONCERNE PAR CES RESERVES N'A PAS MIS LA DILIGENCE NECESSAIRE POUR REALISER LES ACTIONS PERMETTANT LADITE LEVEE DES RESERVES.</w:t>
      </w:r>
    </w:p>
    <w:p w14:paraId="223B313E" w14:textId="77777777" w:rsidR="00B71986" w:rsidRPr="00803356" w:rsidRDefault="00B71986" w:rsidP="00803356">
      <w:pPr>
        <w:rPr>
          <w:rFonts w:ascii="Open Sans" w:hAnsi="Open Sans" w:cs="Open Sans"/>
          <w:b/>
          <w:bCs/>
          <w:sz w:val="18"/>
          <w:szCs w:val="18"/>
          <w:lang w:eastAsia="en-GB"/>
        </w:rPr>
      </w:pPr>
    </w:p>
    <w:p w14:paraId="3744EDFF" w14:textId="53DCE526"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6.1.9 </w:t>
      </w:r>
      <w:r w:rsidRPr="00803356">
        <w:rPr>
          <w:rFonts w:ascii="Open Sans" w:hAnsi="Open Sans" w:cs="Open Sans"/>
          <w:b/>
          <w:bCs/>
          <w:sz w:val="18"/>
          <w:szCs w:val="18"/>
          <w:lang w:eastAsia="en-GB"/>
        </w:rPr>
        <w:tab/>
        <w:t>SAUF DISPOSITIONS SPECIALES MENTIONNEES DANS LA POLICE, LES PERTES OU DOMMAGES SUBIS PAR LES ENGINS DE CHANTIER, LES INSTALLATIONS DE CHANTIER OU LES MATERIELS DE CHANTIER SONT EXCLUS DE L'APPLICATION DE LA GARANTIE.</w:t>
      </w:r>
    </w:p>
    <w:p w14:paraId="5C4FC389" w14:textId="77777777" w:rsidR="00B71986" w:rsidRPr="00803356" w:rsidRDefault="00B71986" w:rsidP="00803356">
      <w:pPr>
        <w:rPr>
          <w:rFonts w:ascii="Open Sans" w:hAnsi="Open Sans" w:cs="Open Sans"/>
          <w:b/>
          <w:bCs/>
          <w:sz w:val="18"/>
          <w:szCs w:val="18"/>
          <w:lang w:eastAsia="en-GB"/>
        </w:rPr>
      </w:pPr>
    </w:p>
    <w:p w14:paraId="29E418DC" w14:textId="5688A58D"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6.1.10 </w:t>
      </w:r>
      <w:r w:rsidRPr="00803356">
        <w:rPr>
          <w:rFonts w:ascii="Open Sans" w:hAnsi="Open Sans" w:cs="Open Sans"/>
          <w:b/>
          <w:bCs/>
          <w:sz w:val="18"/>
          <w:szCs w:val="18"/>
          <w:lang w:eastAsia="en-GB"/>
        </w:rPr>
        <w:tab/>
        <w:t>SONT EXCLUS TOUS DOMMAGES D'INCENDIE, FOUDRE, EXPLOSION</w:t>
      </w:r>
      <w:r w:rsidR="00B71986">
        <w:rPr>
          <w:rFonts w:ascii="Open Sans" w:hAnsi="Open Sans" w:cs="Open Sans"/>
          <w:b/>
          <w:bCs/>
          <w:sz w:val="18"/>
          <w:szCs w:val="18"/>
          <w:lang w:eastAsia="en-GB"/>
        </w:rPr>
        <w:t xml:space="preserve"> </w:t>
      </w:r>
      <w:r w:rsidRPr="00803356">
        <w:rPr>
          <w:rFonts w:ascii="Open Sans" w:hAnsi="Open Sans" w:cs="Open Sans"/>
          <w:b/>
          <w:bCs/>
          <w:sz w:val="18"/>
          <w:szCs w:val="18"/>
          <w:lang w:eastAsia="en-GB"/>
        </w:rPr>
        <w:t xml:space="preserve">COUVERTS PAR UNE POLICE "MULTIRISQUES" SUR LES PARTIES RECEPTIONNEES </w:t>
      </w:r>
    </w:p>
    <w:p w14:paraId="5343FA39" w14:textId="77777777" w:rsidR="00B71986" w:rsidRPr="00803356" w:rsidRDefault="00B71986" w:rsidP="00803356">
      <w:pPr>
        <w:rPr>
          <w:rFonts w:ascii="Open Sans" w:hAnsi="Open Sans" w:cs="Open Sans"/>
          <w:b/>
          <w:bCs/>
          <w:sz w:val="18"/>
          <w:szCs w:val="18"/>
          <w:lang w:eastAsia="en-GB"/>
        </w:rPr>
      </w:pPr>
    </w:p>
    <w:p w14:paraId="2E9A7588" w14:textId="71E33B0A"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6.1.11 LES DOMMAGES SUBIS PAR DES PROTOTYPES </w:t>
      </w:r>
    </w:p>
    <w:p w14:paraId="355CE2C6" w14:textId="77777777" w:rsidR="00B71986" w:rsidRPr="00803356" w:rsidRDefault="00B71986" w:rsidP="00803356">
      <w:pPr>
        <w:rPr>
          <w:rFonts w:ascii="Open Sans" w:hAnsi="Open Sans" w:cs="Open Sans"/>
          <w:b/>
          <w:bCs/>
          <w:sz w:val="18"/>
          <w:szCs w:val="18"/>
          <w:lang w:eastAsia="en-GB"/>
        </w:rPr>
      </w:pPr>
    </w:p>
    <w:p w14:paraId="769BB26D" w14:textId="47748E63"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6.1.12 LES PERTES OU DOMMAGES CAUSES PAR UNE PANNE DES SYSTEMES          D’ASSECHEMENT SI L’ASSURE N’AVAIT PAS PREVU DES MOYENS DE SECOURS A HAUTEUR DE 100 %</w:t>
      </w:r>
    </w:p>
    <w:p w14:paraId="5D87383E" w14:textId="77777777" w:rsidR="00B71986" w:rsidRPr="00803356" w:rsidRDefault="00B71986" w:rsidP="00803356">
      <w:pPr>
        <w:rPr>
          <w:rFonts w:ascii="Open Sans" w:hAnsi="Open Sans" w:cs="Open Sans"/>
          <w:b/>
          <w:bCs/>
          <w:sz w:val="18"/>
          <w:szCs w:val="18"/>
          <w:lang w:eastAsia="en-GB"/>
        </w:rPr>
      </w:pPr>
    </w:p>
    <w:p w14:paraId="4E18FF80" w14:textId="278578EB"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6.1.13 LES FRAIS ENGAGÉS POUR LES TRAVAUX D’ÉTANCHÉITÉ SUPPLÉMENTAIRES, ET POUR LES MESURES D’ÉVACUATION DES NAPPES D’EAU EN SURFACE, DES COURS D’EAU, DES EAUX DE RUISSELLEMENT, DES NAPPES D’EAU SOUTERRAINE, DES EAUX D’INFILTRATION ET DES SOURCES, MÊME SI LES QUANTITÉS D’EAU DÉPASSENT DE BEAUCOUP CELLES PRÉVUES INITIALEMENT.</w:t>
      </w:r>
    </w:p>
    <w:p w14:paraId="467C9368" w14:textId="77777777" w:rsidR="00B71986" w:rsidRPr="00803356" w:rsidRDefault="00B71986" w:rsidP="00803356">
      <w:pPr>
        <w:rPr>
          <w:rFonts w:ascii="Open Sans" w:hAnsi="Open Sans" w:cs="Open Sans"/>
          <w:b/>
          <w:bCs/>
          <w:sz w:val="18"/>
          <w:szCs w:val="18"/>
          <w:lang w:eastAsia="en-GB"/>
        </w:rPr>
      </w:pPr>
    </w:p>
    <w:p w14:paraId="300EADBD" w14:textId="342FD3ED"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6.1.14 LES FRAIS SUPPLEMENTAIRES D’INJECTION ET/OU DE CONFORTEMENT DE TERRAIN, MEME SI LA NECESSITE D’ENGAGER DE TELS COUTS N’APPARAIT QU’EN COURS DE TRAVAUX.</w:t>
      </w:r>
    </w:p>
    <w:p w14:paraId="29E1E817" w14:textId="77777777" w:rsidR="00B71986" w:rsidRPr="00803356" w:rsidRDefault="00B71986" w:rsidP="00803356">
      <w:pPr>
        <w:rPr>
          <w:rFonts w:ascii="Open Sans" w:hAnsi="Open Sans" w:cs="Open Sans"/>
          <w:b/>
          <w:bCs/>
          <w:sz w:val="18"/>
          <w:szCs w:val="18"/>
          <w:lang w:eastAsia="en-GB"/>
        </w:rPr>
      </w:pPr>
    </w:p>
    <w:p w14:paraId="3E2BF624"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xml:space="preserve">6.1.15 L’ASSUREUR N’INDEMNISE PAS L’ASSURE DES FRAIS : </w:t>
      </w:r>
    </w:p>
    <w:p w14:paraId="378E8BAF"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 DE REMPLACEMENT OU DE REPARATION DES PIEUX OU DES ELEMENTS DE PAROIS :</w:t>
      </w:r>
    </w:p>
    <w:p w14:paraId="729192C9" w14:textId="77777777" w:rsidR="00803356" w:rsidRPr="00803356" w:rsidRDefault="00803356" w:rsidP="00316DF6">
      <w:pPr>
        <w:numPr>
          <w:ilvl w:val="0"/>
          <w:numId w:val="11"/>
        </w:numPr>
        <w:rPr>
          <w:rFonts w:ascii="Open Sans" w:hAnsi="Open Sans" w:cs="Open Sans"/>
          <w:b/>
          <w:bCs/>
          <w:sz w:val="18"/>
          <w:szCs w:val="18"/>
          <w:lang w:eastAsia="en-GB"/>
        </w:rPr>
      </w:pPr>
      <w:r w:rsidRPr="00803356">
        <w:rPr>
          <w:rFonts w:ascii="Open Sans" w:hAnsi="Open Sans" w:cs="Open Sans"/>
          <w:b/>
          <w:bCs/>
          <w:sz w:val="18"/>
          <w:szCs w:val="18"/>
          <w:lang w:eastAsia="en-GB"/>
        </w:rPr>
        <w:lastRenderedPageBreak/>
        <w:t>QUI SE SONT DEPLACES, DESALIGNES OU COINCES PENDANT LEUR MISE EN PLACE,</w:t>
      </w:r>
    </w:p>
    <w:p w14:paraId="55B91D88" w14:textId="77777777" w:rsidR="00803356" w:rsidRPr="00803356" w:rsidRDefault="00803356" w:rsidP="00316DF6">
      <w:pPr>
        <w:numPr>
          <w:ilvl w:val="0"/>
          <w:numId w:val="11"/>
        </w:numPr>
        <w:rPr>
          <w:rFonts w:ascii="Open Sans" w:hAnsi="Open Sans" w:cs="Open Sans"/>
          <w:b/>
          <w:bCs/>
          <w:sz w:val="18"/>
          <w:szCs w:val="18"/>
          <w:lang w:eastAsia="en-GB"/>
        </w:rPr>
      </w:pPr>
      <w:r w:rsidRPr="00803356">
        <w:rPr>
          <w:rFonts w:ascii="Open Sans" w:hAnsi="Open Sans" w:cs="Open Sans"/>
          <w:b/>
          <w:bCs/>
          <w:sz w:val="18"/>
          <w:szCs w:val="18"/>
          <w:lang w:eastAsia="en-GB"/>
        </w:rPr>
        <w:t>QUI SONT DEVENUS INUTILISABLES, ONT ETE ABANDONNES OU ENDOMMAGES AU COURS DU BATTAGE OU DU RETRAIT,</w:t>
      </w:r>
    </w:p>
    <w:p w14:paraId="39AED5A1" w14:textId="77777777" w:rsidR="00803356" w:rsidRPr="00803356" w:rsidRDefault="00803356" w:rsidP="00316DF6">
      <w:pPr>
        <w:numPr>
          <w:ilvl w:val="0"/>
          <w:numId w:val="11"/>
        </w:numPr>
        <w:rPr>
          <w:rFonts w:ascii="Open Sans" w:hAnsi="Open Sans" w:cs="Open Sans"/>
          <w:b/>
          <w:bCs/>
          <w:sz w:val="18"/>
          <w:szCs w:val="18"/>
          <w:lang w:eastAsia="en-GB"/>
        </w:rPr>
      </w:pPr>
      <w:r w:rsidRPr="00803356">
        <w:rPr>
          <w:rFonts w:ascii="Open Sans" w:hAnsi="Open Sans" w:cs="Open Sans"/>
          <w:b/>
          <w:bCs/>
          <w:sz w:val="18"/>
          <w:szCs w:val="18"/>
          <w:lang w:eastAsia="en-GB"/>
        </w:rPr>
        <w:t>QUI NE SONT PLUS UTILISABLES DU FAIT QUE L’APPAREIL DE FORAGE OU LA COLONNE D’XPLOITATION SONT RESTES COINCES OU ONT SUBI DES DOMMAGES :</w:t>
      </w:r>
    </w:p>
    <w:p w14:paraId="0346588F"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1.</w:t>
      </w:r>
      <w:r w:rsidRPr="00803356">
        <w:rPr>
          <w:rFonts w:ascii="Open Sans" w:hAnsi="Open Sans" w:cs="Open Sans"/>
          <w:b/>
          <w:bCs/>
          <w:sz w:val="18"/>
          <w:szCs w:val="18"/>
          <w:lang w:eastAsia="en-GB"/>
        </w:rPr>
        <w:tab/>
        <w:t>DE REPARATION DES PALPLANCHES DISJOINTES OU MAL JOINTES</w:t>
      </w:r>
    </w:p>
    <w:p w14:paraId="3CC01BF9"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2.</w:t>
      </w:r>
      <w:r w:rsidRPr="00803356">
        <w:rPr>
          <w:rFonts w:ascii="Open Sans" w:hAnsi="Open Sans" w:cs="Open Sans"/>
          <w:b/>
          <w:bCs/>
          <w:sz w:val="18"/>
          <w:szCs w:val="18"/>
          <w:lang w:eastAsia="en-GB"/>
        </w:rPr>
        <w:tab/>
        <w:t>D’ELIMINATION DES FUITES OU DES INFILTRATIONS DE MATERIAUX DE TOUTE SORTE</w:t>
      </w:r>
    </w:p>
    <w:p w14:paraId="30FDF7E0"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3.</w:t>
      </w:r>
      <w:r w:rsidRPr="00803356">
        <w:rPr>
          <w:rFonts w:ascii="Open Sans" w:hAnsi="Open Sans" w:cs="Open Sans"/>
          <w:b/>
          <w:bCs/>
          <w:sz w:val="18"/>
          <w:szCs w:val="18"/>
          <w:lang w:eastAsia="en-GB"/>
        </w:rPr>
        <w:tab/>
        <w:t>DE REMPLISSAGE DES ESPACES VIDES ET DE REPARATION DES FUITES DE BENTONITE</w:t>
      </w:r>
    </w:p>
    <w:p w14:paraId="1A1B23BE" w14:textId="77777777" w:rsidR="00803356" w:rsidRPr="00803356" w:rsidRDefault="00803356" w:rsidP="00B71986">
      <w:pPr>
        <w:ind w:left="709" w:hanging="709"/>
        <w:rPr>
          <w:rFonts w:ascii="Open Sans" w:hAnsi="Open Sans" w:cs="Open Sans"/>
          <w:b/>
          <w:bCs/>
          <w:sz w:val="18"/>
          <w:szCs w:val="18"/>
          <w:lang w:eastAsia="en-GB"/>
        </w:rPr>
      </w:pPr>
      <w:r w:rsidRPr="00803356">
        <w:rPr>
          <w:rFonts w:ascii="Open Sans" w:hAnsi="Open Sans" w:cs="Open Sans"/>
          <w:b/>
          <w:bCs/>
          <w:sz w:val="18"/>
          <w:szCs w:val="18"/>
          <w:lang w:eastAsia="en-GB"/>
        </w:rPr>
        <w:t>4.</w:t>
      </w:r>
      <w:r w:rsidRPr="00803356">
        <w:rPr>
          <w:rFonts w:ascii="Open Sans" w:hAnsi="Open Sans" w:cs="Open Sans"/>
          <w:b/>
          <w:bCs/>
          <w:sz w:val="18"/>
          <w:szCs w:val="18"/>
          <w:lang w:eastAsia="en-GB"/>
        </w:rPr>
        <w:tab/>
        <w:t>ENGAGES DU FAIT QUE LES PIEUX OU LES ELEMENTS DE FONDATION N’ONTPAS RESISTE A L’ESSSAI DE PORTANTE OU N’ONT PAS ATTEINT LA FORCE PORTANTE NECESSAIRE</w:t>
      </w:r>
    </w:p>
    <w:p w14:paraId="1E3701EC" w14:textId="77777777" w:rsidR="00803356" w:rsidRP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5.</w:t>
      </w:r>
      <w:r w:rsidRPr="00803356">
        <w:rPr>
          <w:rFonts w:ascii="Open Sans" w:hAnsi="Open Sans" w:cs="Open Sans"/>
          <w:b/>
          <w:bCs/>
          <w:sz w:val="18"/>
          <w:szCs w:val="18"/>
          <w:lang w:eastAsia="en-GB"/>
        </w:rPr>
        <w:tab/>
        <w:t>DE RETABLISSEMENT DES PROFILS OU DES DIMENSIONS</w:t>
      </w:r>
    </w:p>
    <w:p w14:paraId="3F5182AA" w14:textId="77777777" w:rsidR="00803356" w:rsidRPr="00803356" w:rsidRDefault="00803356" w:rsidP="00803356">
      <w:pPr>
        <w:rPr>
          <w:rFonts w:ascii="Open Sans" w:hAnsi="Open Sans" w:cs="Open Sans"/>
          <w:b/>
          <w:bCs/>
          <w:sz w:val="18"/>
          <w:szCs w:val="18"/>
          <w:lang w:eastAsia="en-GB"/>
        </w:rPr>
      </w:pPr>
    </w:p>
    <w:p w14:paraId="350E9BFC" w14:textId="760F3D38"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6.1.16</w:t>
      </w:r>
      <w:r w:rsidRPr="00803356">
        <w:rPr>
          <w:rFonts w:ascii="Open Sans" w:hAnsi="Open Sans" w:cs="Open Sans"/>
          <w:b/>
          <w:bCs/>
          <w:sz w:val="18"/>
          <w:szCs w:val="18"/>
          <w:lang w:eastAsia="en-GB"/>
        </w:rPr>
        <w:tab/>
        <w:t>LES PERTES OU DOMMAGES IMPUTABLES A UNE MISE HORS CIRCUIT VOLONTAIRE DES DISPOSITIFS DE SECURITE PENDANT LES ESSAIS SOUS RESERVE QU’IL Y AIT UN LIEN DE CAUSALITE ENTRE LA MISE HORS SERVICE ET LE DOMMAGE</w:t>
      </w:r>
    </w:p>
    <w:p w14:paraId="41AC895A" w14:textId="77777777" w:rsidR="00B71986" w:rsidRPr="00803356" w:rsidRDefault="00B71986" w:rsidP="00803356">
      <w:pPr>
        <w:rPr>
          <w:rFonts w:ascii="Open Sans" w:hAnsi="Open Sans" w:cs="Open Sans"/>
          <w:b/>
          <w:bCs/>
          <w:sz w:val="18"/>
          <w:szCs w:val="18"/>
          <w:lang w:eastAsia="en-GB"/>
        </w:rPr>
      </w:pPr>
    </w:p>
    <w:p w14:paraId="0C82DF6D" w14:textId="77777777" w:rsidR="00803356" w:rsidRPr="00803356" w:rsidRDefault="00803356" w:rsidP="00B71986">
      <w:pPr>
        <w:ind w:left="708"/>
        <w:rPr>
          <w:rFonts w:ascii="Open Sans" w:hAnsi="Open Sans" w:cs="Open Sans"/>
          <w:b/>
          <w:bCs/>
          <w:sz w:val="18"/>
          <w:szCs w:val="18"/>
          <w:lang w:eastAsia="en-GB"/>
        </w:rPr>
      </w:pPr>
      <w:r w:rsidRPr="00803356">
        <w:rPr>
          <w:rFonts w:ascii="Open Sans" w:hAnsi="Open Sans" w:cs="Open Sans"/>
          <w:b/>
          <w:bCs/>
          <w:sz w:val="18"/>
          <w:szCs w:val="18"/>
          <w:lang w:eastAsia="en-GB"/>
        </w:rPr>
        <w:t>- SI LA COMPAGNIE, EN VERTU DE CETTE CLAUSE, AFFIRME QU'UN SINISTRE N'EST PAS GARANTI AU TITRE DU PRESENT CONTRAT, IL APPARTIENDRA A L'ASSURE DE DEMONTRER LE CONTRAIRE.</w:t>
      </w:r>
    </w:p>
    <w:p w14:paraId="13C21A03" w14:textId="131E0CDA" w:rsidR="00803356" w:rsidRDefault="00803356" w:rsidP="00B71986">
      <w:pPr>
        <w:ind w:left="708"/>
        <w:rPr>
          <w:rFonts w:ascii="Open Sans" w:hAnsi="Open Sans" w:cs="Open Sans"/>
          <w:b/>
          <w:bCs/>
          <w:sz w:val="18"/>
          <w:szCs w:val="18"/>
          <w:lang w:eastAsia="en-GB"/>
        </w:rPr>
      </w:pPr>
      <w:r w:rsidRPr="00803356">
        <w:rPr>
          <w:rFonts w:ascii="Open Sans" w:hAnsi="Open Sans" w:cs="Open Sans"/>
          <w:b/>
          <w:bCs/>
          <w:sz w:val="18"/>
          <w:szCs w:val="18"/>
          <w:lang w:eastAsia="en-GB"/>
        </w:rPr>
        <w:t>- SI UNE PARTIE DE LA PRESENTE CLAUSE S'AVERAIT NULLE OU INAPPLICABLE, LA VALIDITE DE LA PARTIE RESTANTE DEMEURERAIT PLEINEMENT EFFECTIVE ET APPLICABLE.</w:t>
      </w:r>
    </w:p>
    <w:p w14:paraId="02DFC1CB" w14:textId="77777777" w:rsidR="00B71986" w:rsidRPr="00803356" w:rsidRDefault="00B71986" w:rsidP="00803356">
      <w:pPr>
        <w:rPr>
          <w:rFonts w:ascii="Open Sans" w:hAnsi="Open Sans" w:cs="Open Sans"/>
          <w:b/>
          <w:bCs/>
          <w:sz w:val="18"/>
          <w:szCs w:val="18"/>
          <w:lang w:eastAsia="en-GB"/>
        </w:rPr>
      </w:pPr>
    </w:p>
    <w:p w14:paraId="186CAE86" w14:textId="77777777" w:rsidR="00803356" w:rsidRPr="00803356" w:rsidRDefault="00803356" w:rsidP="00803356">
      <w:pPr>
        <w:rPr>
          <w:rFonts w:ascii="Open Sans" w:hAnsi="Open Sans" w:cs="Open Sans"/>
          <w:bCs/>
          <w:sz w:val="18"/>
          <w:szCs w:val="18"/>
          <w:lang w:eastAsia="en-GB"/>
        </w:rPr>
      </w:pPr>
      <w:r w:rsidRPr="00803356">
        <w:rPr>
          <w:rFonts w:ascii="Open Sans" w:hAnsi="Open Sans" w:cs="Open Sans"/>
          <w:bCs/>
          <w:sz w:val="18"/>
          <w:szCs w:val="18"/>
          <w:lang w:eastAsia="en-GB"/>
        </w:rPr>
        <w:t xml:space="preserve">Restent couverts, dans les limites de la police, les dommages affectant les risques assurés dans la police à l’occasion de grèves, d’émeutes et de mouvements populaires. </w:t>
      </w:r>
    </w:p>
    <w:p w14:paraId="1C6FFE75" w14:textId="70308724" w:rsidR="00803356" w:rsidRPr="00803356" w:rsidRDefault="00142A2F" w:rsidP="00B71986">
      <w:pPr>
        <w:pStyle w:val="Titre3"/>
        <w:spacing w:before="240" w:after="200"/>
        <w:rPr>
          <w:rFonts w:ascii="Open Sans" w:hAnsi="Open Sans" w:cs="Open Sans"/>
          <w:color w:val="000000" w:themeColor="text1"/>
        </w:rPr>
      </w:pPr>
      <w:bookmarkStart w:id="73" w:name="_Toc235033090"/>
      <w:bookmarkStart w:id="74" w:name="_Toc237529662"/>
      <w:r w:rsidRPr="00803356">
        <w:rPr>
          <w:rFonts w:ascii="Open Sans" w:hAnsi="Open Sans" w:cs="Open Sans"/>
          <w:color w:val="000000" w:themeColor="text1"/>
        </w:rPr>
        <w:t>Exclusions de la garantie de maintenance</w:t>
      </w:r>
      <w:bookmarkEnd w:id="73"/>
      <w:bookmarkEnd w:id="74"/>
    </w:p>
    <w:p w14:paraId="0F8195B0" w14:textId="77777777" w:rsidR="00803356" w:rsidRPr="00803356" w:rsidRDefault="00803356" w:rsidP="00803356">
      <w:pPr>
        <w:rPr>
          <w:rFonts w:ascii="Open Sans" w:hAnsi="Open Sans" w:cs="Open Sans"/>
          <w:bCs/>
          <w:sz w:val="18"/>
          <w:szCs w:val="18"/>
          <w:lang w:eastAsia="en-GB"/>
        </w:rPr>
      </w:pPr>
    </w:p>
    <w:p w14:paraId="795849D7" w14:textId="7CDDE6C8"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6.2.1</w:t>
      </w:r>
      <w:r w:rsidRPr="00803356">
        <w:rPr>
          <w:rFonts w:ascii="Open Sans" w:hAnsi="Open Sans" w:cs="Open Sans"/>
          <w:b/>
          <w:bCs/>
          <w:sz w:val="18"/>
          <w:szCs w:val="18"/>
          <w:lang w:eastAsia="en-GB"/>
        </w:rPr>
        <w:tab/>
        <w:t>SONT EXCLUS LES PERTES OU DOMMAGES ATTEIGNANT LES BIENS ASSURES ET RESULTANT D'INCENDIE, DE LA FOUDRE OU D'UNE EXPLOSION.</w:t>
      </w:r>
    </w:p>
    <w:p w14:paraId="67EB7FF7" w14:textId="77777777" w:rsidR="00B71986" w:rsidRPr="00803356" w:rsidRDefault="00B71986" w:rsidP="00803356">
      <w:pPr>
        <w:rPr>
          <w:rFonts w:ascii="Open Sans" w:hAnsi="Open Sans" w:cs="Open Sans"/>
          <w:b/>
          <w:bCs/>
          <w:sz w:val="18"/>
          <w:szCs w:val="18"/>
          <w:lang w:eastAsia="en-GB"/>
        </w:rPr>
      </w:pPr>
    </w:p>
    <w:p w14:paraId="4B15B331" w14:textId="50990391" w:rsidR="00803356" w:rsidRDefault="00803356" w:rsidP="00803356">
      <w:pPr>
        <w:rPr>
          <w:rFonts w:ascii="Open Sans" w:hAnsi="Open Sans" w:cs="Open Sans"/>
          <w:b/>
          <w:bCs/>
          <w:sz w:val="18"/>
          <w:szCs w:val="18"/>
          <w:lang w:eastAsia="en-GB"/>
        </w:rPr>
      </w:pPr>
      <w:r w:rsidRPr="00803356">
        <w:rPr>
          <w:rFonts w:ascii="Open Sans" w:hAnsi="Open Sans" w:cs="Open Sans"/>
          <w:b/>
          <w:bCs/>
          <w:sz w:val="18"/>
          <w:szCs w:val="18"/>
          <w:lang w:eastAsia="en-GB"/>
        </w:rPr>
        <w:t>6.2.2</w:t>
      </w:r>
      <w:r w:rsidRPr="00803356">
        <w:rPr>
          <w:rFonts w:ascii="Open Sans" w:hAnsi="Open Sans" w:cs="Open Sans"/>
          <w:b/>
          <w:bCs/>
          <w:sz w:val="18"/>
          <w:szCs w:val="18"/>
          <w:lang w:eastAsia="en-GB"/>
        </w:rPr>
        <w:tab/>
        <w:t>SONT EXCLUS LES DOMMAGES A L'OUVRAGE DE LA NATURE DE CEUX DONT SONT RESPONSABLES LES CONSTRUCTEURS AU TITRE DE L'ARTICLE 1792 ET SUIVANTS ET 2270-2 DU CODE CIVIL.</w:t>
      </w:r>
    </w:p>
    <w:p w14:paraId="192AAD8A" w14:textId="77777777" w:rsidR="00B71986" w:rsidRPr="00803356" w:rsidRDefault="00B71986" w:rsidP="00803356">
      <w:pPr>
        <w:rPr>
          <w:rFonts w:ascii="Open Sans" w:hAnsi="Open Sans" w:cs="Open Sans"/>
          <w:b/>
          <w:bCs/>
          <w:sz w:val="18"/>
          <w:szCs w:val="18"/>
          <w:lang w:eastAsia="en-GB"/>
        </w:rPr>
      </w:pPr>
    </w:p>
    <w:p w14:paraId="1A8842D5" w14:textId="77777777" w:rsidR="00803356" w:rsidRPr="00803356" w:rsidRDefault="00803356" w:rsidP="00803356">
      <w:pPr>
        <w:rPr>
          <w:rFonts w:ascii="Open Sans" w:hAnsi="Open Sans" w:cs="Open Sans"/>
          <w:bCs/>
          <w:sz w:val="18"/>
          <w:szCs w:val="18"/>
          <w:lang w:eastAsia="en-GB"/>
        </w:rPr>
      </w:pPr>
      <w:r w:rsidRPr="00803356">
        <w:rPr>
          <w:rFonts w:ascii="Open Sans" w:hAnsi="Open Sans" w:cs="Open Sans"/>
          <w:bCs/>
          <w:sz w:val="18"/>
          <w:szCs w:val="18"/>
          <w:lang w:eastAsia="en-GB"/>
        </w:rPr>
        <w:t>Si, après un dommage garanti, il est établi que l’Assuré ne s’est pas conformé aux dispositions ci-dessus, le montant de la franchise sera doublé.</w:t>
      </w:r>
    </w:p>
    <w:p w14:paraId="0CD08A28" w14:textId="15505523" w:rsidR="00803356" w:rsidRDefault="00803356" w:rsidP="005E2F88">
      <w:pPr>
        <w:rPr>
          <w:rFonts w:ascii="Open Sans" w:hAnsi="Open Sans" w:cs="Open Sans"/>
          <w:bCs/>
          <w:sz w:val="18"/>
          <w:szCs w:val="18"/>
          <w:lang w:val="fr-BE" w:eastAsia="en-GB"/>
        </w:rPr>
      </w:pPr>
    </w:p>
    <w:p w14:paraId="131D4C4F" w14:textId="75B30E5A" w:rsidR="00B71986" w:rsidRPr="002B6FC0" w:rsidRDefault="00142A2F" w:rsidP="00316DF6">
      <w:pPr>
        <w:pStyle w:val="Titre2"/>
      </w:pPr>
      <w:bookmarkStart w:id="75" w:name="_Toc237529663"/>
      <w:r>
        <w:rPr>
          <w:caps w:val="0"/>
        </w:rPr>
        <w:t>CONVENTIONS</w:t>
      </w:r>
      <w:bookmarkEnd w:id="75"/>
    </w:p>
    <w:p w14:paraId="6E0C752E" w14:textId="2B3EABD5" w:rsidR="00B71986" w:rsidRPr="00B71986" w:rsidRDefault="00B71986" w:rsidP="00B71986">
      <w:pPr>
        <w:pStyle w:val="Titre3"/>
        <w:spacing w:before="240" w:after="200"/>
        <w:rPr>
          <w:rFonts w:ascii="Open Sans" w:hAnsi="Open Sans" w:cs="Open Sans"/>
          <w:color w:val="000000" w:themeColor="text1"/>
        </w:rPr>
      </w:pPr>
      <w:bookmarkStart w:id="76" w:name="_Toc235033092"/>
      <w:bookmarkStart w:id="77" w:name="_Toc237529664"/>
      <w:r w:rsidRPr="00B71986">
        <w:rPr>
          <w:rFonts w:ascii="Open Sans" w:hAnsi="Open Sans" w:cs="Open Sans"/>
          <w:color w:val="000000" w:themeColor="text1"/>
        </w:rPr>
        <w:t>Arrêt de chantier</w:t>
      </w:r>
      <w:bookmarkEnd w:id="76"/>
      <w:bookmarkEnd w:id="77"/>
      <w:r w:rsidRPr="00B71986">
        <w:rPr>
          <w:rFonts w:ascii="Open Sans" w:hAnsi="Open Sans" w:cs="Open Sans"/>
          <w:color w:val="000000" w:themeColor="text1"/>
        </w:rPr>
        <w:t xml:space="preserve"> </w:t>
      </w:r>
    </w:p>
    <w:p w14:paraId="6EF862B0" w14:textId="26166808"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Les garanties demeurent acquises à l'Assuré en cas d'arrêt partiel ou total non définitif des travaux qui serait dû à des intempéries ou à des congés annuels.</w:t>
      </w:r>
    </w:p>
    <w:p w14:paraId="44A1BF9E" w14:textId="77777777" w:rsidR="00B71986" w:rsidRPr="00B71986" w:rsidRDefault="00B71986" w:rsidP="00B71986">
      <w:pPr>
        <w:rPr>
          <w:rFonts w:ascii="Open Sans" w:hAnsi="Open Sans" w:cs="Open Sans"/>
          <w:sz w:val="18"/>
          <w:szCs w:val="18"/>
          <w:lang w:eastAsia="en-GB"/>
        </w:rPr>
      </w:pPr>
    </w:p>
    <w:p w14:paraId="49EEF93E"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Si cet arrêt est provoqué par une autre cause, la garantie demeure acquise pendant une durée de 3 mois, prolongeable au-delà sur demande de l'Assuré qui devra préalablement informer complètement l'Assureur des raisons de cet arrêt et des dispositions particulières qui sont prises sur le chantier au cours de cet arrêt.</w:t>
      </w:r>
    </w:p>
    <w:p w14:paraId="6FDC8A60" w14:textId="0C40D988"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 xml:space="preserve">En cas d'arrêt total définitif du chantier, le souscripteur a le devoir d'en informer l'assureur dans un délai maximum de 30 jours après quoi la police pourra être résiliée. Cette résiliation ne donnera lieu à aucune indemnité et la prime définitive due à l'Assureur résultera de l'application au prorata </w:t>
      </w:r>
      <w:proofErr w:type="spellStart"/>
      <w:r w:rsidRPr="00B71986">
        <w:rPr>
          <w:rFonts w:ascii="Open Sans" w:hAnsi="Open Sans" w:cs="Open Sans"/>
          <w:sz w:val="18"/>
          <w:szCs w:val="18"/>
          <w:lang w:eastAsia="en-GB"/>
        </w:rPr>
        <w:t>temporis</w:t>
      </w:r>
      <w:proofErr w:type="spellEnd"/>
      <w:r w:rsidRPr="00B71986">
        <w:rPr>
          <w:rFonts w:ascii="Open Sans" w:hAnsi="Open Sans" w:cs="Open Sans"/>
          <w:sz w:val="18"/>
          <w:szCs w:val="18"/>
          <w:lang w:eastAsia="en-GB"/>
        </w:rPr>
        <w:t xml:space="preserve"> du taux de prime prévu au contrat sur la valeur des travaux exécutés à la date de l'arrêt définitif.</w:t>
      </w:r>
    </w:p>
    <w:p w14:paraId="7AB57052" w14:textId="5D1C06F9" w:rsidR="00B71986" w:rsidRPr="00B71986" w:rsidRDefault="00B71986" w:rsidP="00B71986">
      <w:pPr>
        <w:pStyle w:val="Titre3"/>
        <w:spacing w:before="240" w:after="200"/>
        <w:rPr>
          <w:rFonts w:ascii="Open Sans" w:hAnsi="Open Sans" w:cs="Open Sans"/>
          <w:color w:val="000000" w:themeColor="text1"/>
        </w:rPr>
      </w:pPr>
      <w:bookmarkStart w:id="78" w:name="_Toc235033093"/>
      <w:bookmarkStart w:id="79" w:name="_Toc237529665"/>
      <w:r w:rsidRPr="00B71986">
        <w:rPr>
          <w:rFonts w:ascii="Open Sans" w:hAnsi="Open Sans" w:cs="Open Sans"/>
          <w:color w:val="000000" w:themeColor="text1"/>
        </w:rPr>
        <w:t>Abrogation de la règle proportionnelle</w:t>
      </w:r>
      <w:bookmarkEnd w:id="78"/>
      <w:bookmarkEnd w:id="79"/>
      <w:r w:rsidRPr="00B71986">
        <w:rPr>
          <w:rFonts w:ascii="Open Sans" w:hAnsi="Open Sans" w:cs="Open Sans"/>
          <w:color w:val="000000" w:themeColor="text1"/>
        </w:rPr>
        <w:t xml:space="preserve"> </w:t>
      </w:r>
    </w:p>
    <w:p w14:paraId="1DA2E5EA"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Il est convenu que les dispositions de l'article L.121-5 du Code des Assurances ne peuvent être invoquées et ce dans la mesure où l'assuré s'engage à déclarer à la Compagnie le montant total définitif de l'ouvrage assuré comme il est dit au Chapitre "Paiement des Primes".</w:t>
      </w:r>
    </w:p>
    <w:p w14:paraId="76296079" w14:textId="115BB5F5" w:rsidR="00B71986" w:rsidRPr="00B71986" w:rsidRDefault="00B71986" w:rsidP="00B71986">
      <w:pPr>
        <w:pStyle w:val="Titre3"/>
        <w:spacing w:before="240" w:after="200"/>
        <w:rPr>
          <w:rFonts w:ascii="Open Sans" w:hAnsi="Open Sans" w:cs="Open Sans"/>
          <w:color w:val="000000" w:themeColor="text1"/>
        </w:rPr>
      </w:pPr>
      <w:bookmarkStart w:id="80" w:name="_Toc235033094"/>
      <w:bookmarkStart w:id="81" w:name="_Toc237529666"/>
      <w:r w:rsidRPr="00B71986">
        <w:rPr>
          <w:rFonts w:ascii="Open Sans" w:hAnsi="Open Sans" w:cs="Open Sans"/>
          <w:color w:val="000000" w:themeColor="text1"/>
        </w:rPr>
        <w:lastRenderedPageBreak/>
        <w:t>Reconstitution de garantie</w:t>
      </w:r>
      <w:bookmarkEnd w:id="80"/>
      <w:bookmarkEnd w:id="81"/>
      <w:r w:rsidRPr="00B71986">
        <w:rPr>
          <w:rFonts w:ascii="Open Sans" w:hAnsi="Open Sans" w:cs="Open Sans"/>
          <w:color w:val="000000" w:themeColor="text1"/>
        </w:rPr>
        <w:t xml:space="preserve"> </w:t>
      </w:r>
    </w:p>
    <w:p w14:paraId="2C67011D"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 garantie est réduite de plein droit, après sinistre, du montant de l'indemnité correspondante.</w:t>
      </w:r>
    </w:p>
    <w:p w14:paraId="06A27275" w14:textId="0E6EAF43"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Le montant de cette garantie pourra être rétabli sur demande formulée par lettre recommandée par l'assuré, celui-ci s'engageant à payer à la date de reconstitution une prime complémentaire fixée d'un commun accord entre les parties.</w:t>
      </w:r>
    </w:p>
    <w:p w14:paraId="47465FCD" w14:textId="77777777" w:rsidR="00B71986" w:rsidRPr="00B71986" w:rsidRDefault="00B71986" w:rsidP="00B71986">
      <w:pPr>
        <w:rPr>
          <w:rFonts w:ascii="Open Sans" w:hAnsi="Open Sans" w:cs="Open Sans"/>
          <w:sz w:val="18"/>
          <w:szCs w:val="18"/>
          <w:lang w:eastAsia="en-GB"/>
        </w:rPr>
      </w:pPr>
    </w:p>
    <w:p w14:paraId="210D9978"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Si l'assuré décide de ne pas reconstituer les capitaux, ceux réduits seront considérés comme un premier risque sans application de la Règle Proportionnelle.</w:t>
      </w:r>
    </w:p>
    <w:p w14:paraId="2A6C1A35" w14:textId="678A201D" w:rsidR="00B71986" w:rsidRPr="00B71986" w:rsidRDefault="00B71986" w:rsidP="00B71986">
      <w:pPr>
        <w:pStyle w:val="Titre3"/>
        <w:spacing w:before="240" w:after="200"/>
        <w:rPr>
          <w:rFonts w:ascii="Open Sans" w:hAnsi="Open Sans" w:cs="Open Sans"/>
          <w:color w:val="000000" w:themeColor="text1"/>
        </w:rPr>
      </w:pPr>
      <w:bookmarkStart w:id="82" w:name="_Toc235033095"/>
      <w:bookmarkStart w:id="83" w:name="_Toc237529667"/>
      <w:r w:rsidRPr="00B71986">
        <w:rPr>
          <w:rFonts w:ascii="Open Sans" w:hAnsi="Open Sans" w:cs="Open Sans"/>
          <w:color w:val="000000" w:themeColor="text1"/>
        </w:rPr>
        <w:t>Clause des 72 heures</w:t>
      </w:r>
      <w:bookmarkEnd w:id="82"/>
      <w:bookmarkEnd w:id="83"/>
      <w:r w:rsidRPr="00B71986">
        <w:rPr>
          <w:rFonts w:ascii="Open Sans" w:hAnsi="Open Sans" w:cs="Open Sans"/>
          <w:color w:val="000000" w:themeColor="text1"/>
        </w:rPr>
        <w:t xml:space="preserve"> </w:t>
      </w:r>
    </w:p>
    <w:p w14:paraId="10363FA5" w14:textId="71D619BB"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Pour l’application de la franchise prévue à la police, toutes pertes ou dommages causés par des évènements naturels tels que tempête, inondation, tremblement de terre ou résultant de glissement de terrain, effondrement ou autre mouvement de terrain relatifs aux dits évènements, survenant pendant toute période de 72 heures consécutives et ayant comme origine le même fait générateur, seront considérés comme constituant un seul et même sinistre et taxables d’une seule franchise. Le ou les Assurés seront libres de déterminer par eux-mêmes le début de cette période de 72 heures mais en cas de dommages s’étalant sur une période plus longue, il ne pourra pas y avoir chevauchement de deux ou plusieurs périodes de 72 heures.</w:t>
      </w:r>
    </w:p>
    <w:p w14:paraId="3DA6081B" w14:textId="77777777" w:rsidR="00B71986" w:rsidRPr="00B71986" w:rsidRDefault="00B71986" w:rsidP="00B71986">
      <w:pPr>
        <w:rPr>
          <w:rFonts w:ascii="Open Sans" w:hAnsi="Open Sans" w:cs="Open Sans"/>
          <w:sz w:val="18"/>
          <w:szCs w:val="18"/>
          <w:lang w:eastAsia="en-GB"/>
        </w:rPr>
      </w:pPr>
    </w:p>
    <w:p w14:paraId="0C344EFF"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Rien de ce qui précède ne saurait être interprété comme limitant le droit pour l’Assuré d’être indemnisé sous déduction d’une seule franchise en cas de sinistre causé par la survenance d’un événement naturel tel que défini ci-dessus dont les effets se prolongent sans interruption sur une période de plus de 72 heures.</w:t>
      </w:r>
    </w:p>
    <w:p w14:paraId="71E1D3F6" w14:textId="3F13A7CB" w:rsidR="00B71986" w:rsidRPr="00B71986" w:rsidRDefault="00B71986" w:rsidP="00B71986">
      <w:pPr>
        <w:pStyle w:val="Titre3"/>
        <w:spacing w:before="240" w:after="200"/>
        <w:rPr>
          <w:rFonts w:ascii="Open Sans" w:hAnsi="Open Sans" w:cs="Open Sans"/>
          <w:color w:val="000000" w:themeColor="text1"/>
        </w:rPr>
      </w:pPr>
      <w:bookmarkStart w:id="84" w:name="_Toc235033096"/>
      <w:bookmarkStart w:id="85" w:name="_Toc237529668"/>
      <w:r w:rsidRPr="00B71986">
        <w:rPr>
          <w:rFonts w:ascii="Open Sans" w:hAnsi="Open Sans" w:cs="Open Sans"/>
          <w:color w:val="000000" w:themeColor="text1"/>
        </w:rPr>
        <w:t>Clause incendie</w:t>
      </w:r>
      <w:bookmarkEnd w:id="84"/>
      <w:bookmarkEnd w:id="85"/>
      <w:r w:rsidRPr="00B71986">
        <w:rPr>
          <w:rFonts w:ascii="Open Sans" w:hAnsi="Open Sans" w:cs="Open Sans"/>
          <w:color w:val="000000" w:themeColor="text1"/>
        </w:rPr>
        <w:t xml:space="preserve"> </w:t>
      </w:r>
    </w:p>
    <w:p w14:paraId="7F8D71D5" w14:textId="3C5F5BAF"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Il est convenu que l’Assureur indemnise l’assuré pour les dommages causés par les incendies ou explosions, à condition que les mesures de sécurité ci-après soient appliquées :</w:t>
      </w:r>
    </w:p>
    <w:p w14:paraId="314D0C89" w14:textId="77777777" w:rsidR="00B71986" w:rsidRPr="00B71986" w:rsidRDefault="00B71986" w:rsidP="00B71986">
      <w:pPr>
        <w:rPr>
          <w:rFonts w:ascii="Open Sans" w:hAnsi="Open Sans" w:cs="Open Sans"/>
          <w:sz w:val="18"/>
          <w:szCs w:val="18"/>
          <w:lang w:eastAsia="en-GB"/>
        </w:rPr>
      </w:pPr>
    </w:p>
    <w:p w14:paraId="7055071D" w14:textId="7EC08FF3"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Un équipement d’une capacité suffisante (extincteurs et agents extincteurs) pour la lutte contre l’incendie doit être disponible sur le chantier et être prêt à l’emploi immédiat.</w:t>
      </w:r>
    </w:p>
    <w:p w14:paraId="08FEE4CA" w14:textId="74920C06"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Un nombre suffisant d’employés doit être initié au maniement d’un tel équipement et être disponible à tout moment pour une intervention immédiate.</w:t>
      </w:r>
    </w:p>
    <w:p w14:paraId="359BD999" w14:textId="4BF3456F"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Eliminer régulièrement les emballages ; les emballages combustibles devront être éliminés quotidiennement du site.</w:t>
      </w:r>
    </w:p>
    <w:p w14:paraId="36F78F9C" w14:textId="0F4B1198"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Les opérations de soudage, à feu ouvert ou par point chaud, à proximité de matériaux combustibles ne sont autorisées que si au moins un ouvrier équipé et parfaitement entraîné pour la lutte contre l’incendie est présent à l’endroit où ces opérations sont exécutées.</w:t>
      </w:r>
    </w:p>
    <w:p w14:paraId="524D2305" w14:textId="5681D666"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Lorsque les essais de fonctionnement d’un lot d’équipement commencent, l’équipement complet de lutte contre l’incendie dédié à ce lot doit déjà être installé et prêt à l’emploi immédiat. Lorsque les essais de fonctionnement de l’ensemble des équipements commencent, l’équipement complet de lutte contre l’incendie doit déjà être installé et prêt à l’emploi immédiat.</w:t>
      </w:r>
    </w:p>
    <w:p w14:paraId="74455E5D" w14:textId="1173ED9A" w:rsidR="00B71986" w:rsidRPr="00B71986" w:rsidRDefault="00B71986" w:rsidP="00316DF6">
      <w:pPr>
        <w:pStyle w:val="Paragraphedeliste"/>
        <w:numPr>
          <w:ilvl w:val="0"/>
          <w:numId w:val="12"/>
        </w:numPr>
        <w:rPr>
          <w:rFonts w:ascii="Open Sans" w:hAnsi="Open Sans" w:cs="Open Sans"/>
          <w:sz w:val="18"/>
          <w:szCs w:val="18"/>
          <w:lang w:eastAsia="en-GB"/>
        </w:rPr>
      </w:pPr>
      <w:r w:rsidRPr="00B71986">
        <w:rPr>
          <w:rFonts w:ascii="Open Sans" w:hAnsi="Open Sans" w:cs="Open Sans"/>
          <w:sz w:val="18"/>
          <w:szCs w:val="18"/>
          <w:lang w:eastAsia="en-GB"/>
        </w:rPr>
        <w:t>Tout travail générant des points chauds devra faire l’objet au préalable d’une procédure de permis de feu délivré avant chaque opération. Le permis feu devra être renouvelé chaque fois qu’un changement (d’opérateur, de lieu, de méthode de travail, etc…) interviendra sur le chantier.</w:t>
      </w:r>
    </w:p>
    <w:p w14:paraId="6317873E" w14:textId="77777777" w:rsidR="00B71986" w:rsidRDefault="00B71986" w:rsidP="00B71986">
      <w:pPr>
        <w:rPr>
          <w:rFonts w:ascii="Open Sans" w:hAnsi="Open Sans" w:cs="Open Sans"/>
          <w:sz w:val="18"/>
          <w:szCs w:val="18"/>
          <w:lang w:eastAsia="en-GB"/>
        </w:rPr>
      </w:pPr>
    </w:p>
    <w:p w14:paraId="2442170A" w14:textId="37E50C41"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Si, après un dommage garanti, il est établi que l’Assuré ne s’est pas conformé aux dispositions ci-dessus, le montant de la franchise sera doublé.</w:t>
      </w:r>
    </w:p>
    <w:p w14:paraId="167A9AD9" w14:textId="66AA5FA4" w:rsidR="00B71986" w:rsidRPr="00B71986" w:rsidRDefault="00B71986" w:rsidP="00B71986">
      <w:pPr>
        <w:pStyle w:val="Titre3"/>
        <w:spacing w:before="240" w:after="200"/>
        <w:rPr>
          <w:rFonts w:ascii="Open Sans" w:hAnsi="Open Sans" w:cs="Open Sans"/>
          <w:color w:val="000000" w:themeColor="text1"/>
        </w:rPr>
      </w:pPr>
      <w:bookmarkStart w:id="86" w:name="_Toc235033097"/>
      <w:bookmarkStart w:id="87" w:name="_Toc237529669"/>
      <w:r w:rsidRPr="00B71986">
        <w:rPr>
          <w:rFonts w:ascii="Open Sans" w:hAnsi="Open Sans" w:cs="Open Sans"/>
          <w:color w:val="000000" w:themeColor="text1"/>
        </w:rPr>
        <w:t>Règlement des sinistres</w:t>
      </w:r>
      <w:bookmarkEnd w:id="86"/>
      <w:bookmarkEnd w:id="87"/>
      <w:r w:rsidRPr="00B71986">
        <w:rPr>
          <w:rFonts w:ascii="Open Sans" w:hAnsi="Open Sans" w:cs="Open Sans"/>
          <w:color w:val="000000" w:themeColor="text1"/>
        </w:rPr>
        <w:t xml:space="preserve"> </w:t>
      </w:r>
    </w:p>
    <w:p w14:paraId="789343DB" w14:textId="722787DC"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Dès la survenance d'événements susceptibles de mettre en jeu les garanties du contrat, l'assuré doit informer l'assureur et prendre toutes dispositions utiles pour protéger les biens assurés.</w:t>
      </w:r>
    </w:p>
    <w:p w14:paraId="7193F363" w14:textId="77777777" w:rsidR="00B71986" w:rsidRPr="00B71986" w:rsidRDefault="00B71986" w:rsidP="00B71986">
      <w:pPr>
        <w:rPr>
          <w:rFonts w:ascii="Open Sans" w:hAnsi="Open Sans" w:cs="Open Sans"/>
          <w:sz w:val="18"/>
          <w:szCs w:val="18"/>
          <w:lang w:eastAsia="en-GB"/>
        </w:rPr>
      </w:pPr>
    </w:p>
    <w:p w14:paraId="449F1E45" w14:textId="53ED0F88"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L'assureur s'engage à instruire immédiatement le sinistre sur la base du rapport déposé par les experts et à verser l'indemnité correspondante au coût de la réparation.</w:t>
      </w:r>
    </w:p>
    <w:p w14:paraId="4879A3E8" w14:textId="77777777" w:rsidR="00B71986" w:rsidRPr="00B71986" w:rsidRDefault="00B71986" w:rsidP="00B71986">
      <w:pPr>
        <w:rPr>
          <w:rFonts w:ascii="Open Sans" w:hAnsi="Open Sans" w:cs="Open Sans"/>
          <w:sz w:val="18"/>
          <w:szCs w:val="18"/>
          <w:lang w:eastAsia="en-GB"/>
        </w:rPr>
      </w:pPr>
    </w:p>
    <w:p w14:paraId="275924B2" w14:textId="7D91CA67"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lastRenderedPageBreak/>
        <w:t>L'indemnité s'apprécie au coût réel de la réparation au moment où celle-ci est exécutée.</w:t>
      </w:r>
    </w:p>
    <w:p w14:paraId="5D0ECA6D" w14:textId="77777777" w:rsidR="00B71986" w:rsidRPr="00B71986" w:rsidRDefault="00B71986" w:rsidP="00B71986">
      <w:pPr>
        <w:rPr>
          <w:rFonts w:ascii="Open Sans" w:hAnsi="Open Sans" w:cs="Open Sans"/>
          <w:sz w:val="18"/>
          <w:szCs w:val="18"/>
          <w:lang w:eastAsia="en-GB"/>
        </w:rPr>
      </w:pPr>
    </w:p>
    <w:p w14:paraId="21E17C29" w14:textId="1B789EED"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Par réparation, il faut entendre tous travaux et études qu'il convient de réaliser après la survenance de pertes ou dommages pour réparer, remettre en état, remplacer ou reconstruire à l'identique.</w:t>
      </w:r>
    </w:p>
    <w:p w14:paraId="7D75B014" w14:textId="77777777" w:rsidR="00B71986" w:rsidRPr="00B71986" w:rsidRDefault="00B71986" w:rsidP="00B71986">
      <w:pPr>
        <w:rPr>
          <w:rFonts w:ascii="Open Sans" w:hAnsi="Open Sans" w:cs="Open Sans"/>
          <w:sz w:val="18"/>
          <w:szCs w:val="18"/>
          <w:lang w:eastAsia="en-GB"/>
        </w:rPr>
      </w:pPr>
    </w:p>
    <w:p w14:paraId="6264ECE9" w14:textId="26F0E222"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 xml:space="preserve">Si la réparation, la remise en état, le remplacement ou la reconstruction à l'identique n'est pas possible, par réparation il faut entendre tous travaux qu'il conviendrait de réaliser pour que l'ouvrage ou la partie d'ouvrage sinistrée redeviennent conforme à sa destination avec un niveau de qualité ou des performances techniques équivalentes dans la limite de 150 % du montant initial de la partie endommagée. </w:t>
      </w:r>
    </w:p>
    <w:p w14:paraId="021FF75D" w14:textId="77777777" w:rsidR="00B71986" w:rsidRPr="00B71986" w:rsidRDefault="00B71986" w:rsidP="00B71986">
      <w:pPr>
        <w:rPr>
          <w:rFonts w:ascii="Open Sans" w:hAnsi="Open Sans" w:cs="Open Sans"/>
          <w:sz w:val="18"/>
          <w:szCs w:val="18"/>
          <w:lang w:eastAsia="en-GB"/>
        </w:rPr>
      </w:pPr>
    </w:p>
    <w:p w14:paraId="54E19371" w14:textId="1F61696D" w:rsid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En cas de sinistre avec réparation impossible, l'indemnité sera calculée sur la base du coût de l'ouvrage d'origine indexé à la date du sinistre.</w:t>
      </w:r>
    </w:p>
    <w:p w14:paraId="77164EBE" w14:textId="77777777" w:rsidR="00B71986" w:rsidRPr="00B71986" w:rsidRDefault="00B71986" w:rsidP="00B71986">
      <w:pPr>
        <w:rPr>
          <w:rFonts w:ascii="Open Sans" w:hAnsi="Open Sans" w:cs="Open Sans"/>
          <w:sz w:val="18"/>
          <w:szCs w:val="18"/>
          <w:lang w:eastAsia="en-GB"/>
        </w:rPr>
      </w:pPr>
    </w:p>
    <w:p w14:paraId="6CE225FF"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Les assureurs indemniseront le Maître d'ouvrage à moins que ce dernier n'autorise le paiement à toute autre personne ayant intérêt dans la présente assurance et ensuite n'exerce le recours, le cas échéant, selon les modalités prévues.</w:t>
      </w:r>
    </w:p>
    <w:p w14:paraId="45DED690" w14:textId="10DA2AA8" w:rsidR="00B71986" w:rsidRDefault="00B71986" w:rsidP="005E2F88">
      <w:pPr>
        <w:rPr>
          <w:rFonts w:ascii="Open Sans" w:hAnsi="Open Sans" w:cs="Open Sans"/>
          <w:bCs/>
          <w:sz w:val="18"/>
          <w:szCs w:val="18"/>
          <w:lang w:val="fr-BE" w:eastAsia="en-GB"/>
        </w:rPr>
      </w:pPr>
    </w:p>
    <w:p w14:paraId="1CA3286E" w14:textId="1377A1AE" w:rsidR="00B71986" w:rsidRPr="00B71986" w:rsidRDefault="00142A2F" w:rsidP="00316DF6">
      <w:pPr>
        <w:pStyle w:val="Titre2"/>
      </w:pPr>
      <w:r>
        <w:rPr>
          <w:caps w:val="0"/>
        </w:rPr>
        <w:t> </w:t>
      </w:r>
      <w:bookmarkStart w:id="88" w:name="_Toc237529670"/>
      <w:r>
        <w:rPr>
          <w:caps w:val="0"/>
        </w:rPr>
        <w:t>PRIME</w:t>
      </w:r>
      <w:bookmarkEnd w:id="88"/>
    </w:p>
    <w:p w14:paraId="2AAE6478" w14:textId="0F27E299" w:rsidR="00B71986" w:rsidRPr="00B71986" w:rsidRDefault="00B71986" w:rsidP="00B71986">
      <w:pPr>
        <w:pStyle w:val="Titre3"/>
        <w:spacing w:before="240" w:after="200"/>
        <w:rPr>
          <w:rFonts w:ascii="Open Sans" w:hAnsi="Open Sans" w:cs="Open Sans"/>
          <w:color w:val="000000" w:themeColor="text1"/>
        </w:rPr>
      </w:pPr>
      <w:bookmarkStart w:id="89" w:name="_Toc235033099"/>
      <w:bookmarkStart w:id="90" w:name="_Toc237529671"/>
      <w:r w:rsidRPr="00B71986">
        <w:rPr>
          <w:rFonts w:ascii="Open Sans" w:hAnsi="Open Sans" w:cs="Open Sans"/>
          <w:color w:val="000000" w:themeColor="text1"/>
        </w:rPr>
        <w:t>Calcul de la prime</w:t>
      </w:r>
      <w:bookmarkEnd w:id="89"/>
      <w:bookmarkEnd w:id="90"/>
      <w:r w:rsidRPr="00B71986">
        <w:rPr>
          <w:rFonts w:ascii="Open Sans" w:hAnsi="Open Sans" w:cs="Open Sans"/>
          <w:color w:val="000000" w:themeColor="text1"/>
        </w:rPr>
        <w:t xml:space="preserve">  </w:t>
      </w:r>
    </w:p>
    <w:p w14:paraId="7F510EAE"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 prime est déterminée par l’application d’un taux sur le montant prévisionnel de l’opération.</w:t>
      </w:r>
    </w:p>
    <w:p w14:paraId="63AD272A"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 prime est augmentée du montant des taxes, primes CAT-NAT et GAREAT en vigueur au moment de l’appel de prime.</w:t>
      </w:r>
    </w:p>
    <w:p w14:paraId="1C7BF05C" w14:textId="77777777" w:rsidR="00B71986" w:rsidRDefault="00B71986" w:rsidP="00B71986">
      <w:pPr>
        <w:rPr>
          <w:rFonts w:ascii="Open Sans" w:hAnsi="Open Sans" w:cs="Open Sans"/>
          <w:sz w:val="18"/>
          <w:szCs w:val="18"/>
          <w:lang w:eastAsia="en-GB"/>
        </w:rPr>
      </w:pPr>
    </w:p>
    <w:p w14:paraId="04C45D23" w14:textId="39C6D8E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 xml:space="preserve">Le Taux de prime est indiqué dans l’acte d’engagement ainsi que les taxes et autres frais applicables. </w:t>
      </w:r>
    </w:p>
    <w:p w14:paraId="7D40D507" w14:textId="77777777" w:rsidR="00B71986" w:rsidRDefault="00B71986" w:rsidP="00B71986">
      <w:pPr>
        <w:rPr>
          <w:rFonts w:ascii="Open Sans" w:hAnsi="Open Sans" w:cs="Open Sans"/>
          <w:sz w:val="18"/>
          <w:szCs w:val="18"/>
          <w:lang w:eastAsia="en-GB"/>
        </w:rPr>
      </w:pPr>
    </w:p>
    <w:p w14:paraId="369CDE7B" w14:textId="0730FC04"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 xml:space="preserve">Remarque : l’assiette des primes étant définie comme le coût des travaux HT les sinistres seront indemnisés HT. </w:t>
      </w:r>
    </w:p>
    <w:p w14:paraId="3B0FD772" w14:textId="213895E8" w:rsidR="00B71986" w:rsidRPr="00B71986" w:rsidRDefault="00B71986" w:rsidP="00B71986">
      <w:pPr>
        <w:pStyle w:val="Titre3"/>
        <w:spacing w:before="240" w:after="200"/>
        <w:rPr>
          <w:rFonts w:ascii="Open Sans" w:hAnsi="Open Sans" w:cs="Open Sans"/>
          <w:color w:val="000000" w:themeColor="text1"/>
        </w:rPr>
      </w:pPr>
      <w:bookmarkStart w:id="91" w:name="_Toc235033100"/>
      <w:bookmarkStart w:id="92" w:name="_Toc237529672"/>
      <w:r w:rsidRPr="00B71986">
        <w:rPr>
          <w:rFonts w:ascii="Open Sans" w:hAnsi="Open Sans" w:cs="Open Sans"/>
          <w:color w:val="000000" w:themeColor="text1"/>
        </w:rPr>
        <w:t>Paiement des primes</w:t>
      </w:r>
      <w:bookmarkEnd w:id="91"/>
      <w:bookmarkEnd w:id="92"/>
      <w:r w:rsidRPr="00B71986">
        <w:rPr>
          <w:rFonts w:ascii="Open Sans" w:hAnsi="Open Sans" w:cs="Open Sans"/>
          <w:color w:val="000000" w:themeColor="text1"/>
        </w:rPr>
        <w:t xml:space="preserve"> </w:t>
      </w:r>
    </w:p>
    <w:p w14:paraId="69C9042F" w14:textId="3B397ADC"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 prime est appelée selon les modalités suivantes :</w:t>
      </w:r>
    </w:p>
    <w:p w14:paraId="5FB25BC2" w14:textId="77777777" w:rsidR="00B71986" w:rsidRPr="00B71986" w:rsidRDefault="00B71986" w:rsidP="00316DF6">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20 % à la signature de la police</w:t>
      </w:r>
    </w:p>
    <w:p w14:paraId="587715C4" w14:textId="77777777" w:rsidR="00B71986" w:rsidRPr="00B71986" w:rsidRDefault="00B71986" w:rsidP="00316DF6">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 xml:space="preserve">20 % chaque année suivante jusqu’à atteindre 100 % </w:t>
      </w:r>
    </w:p>
    <w:p w14:paraId="6B8AD671" w14:textId="77777777" w:rsidR="00B71986" w:rsidRPr="00B71986" w:rsidRDefault="00B71986" w:rsidP="00316DF6">
      <w:pPr>
        <w:pStyle w:val="Paragraphedeliste"/>
        <w:numPr>
          <w:ilvl w:val="0"/>
          <w:numId w:val="13"/>
        </w:numPr>
        <w:rPr>
          <w:rFonts w:ascii="Open Sans" w:hAnsi="Open Sans" w:cs="Open Sans"/>
          <w:sz w:val="18"/>
          <w:szCs w:val="18"/>
          <w:lang w:eastAsia="en-GB"/>
        </w:rPr>
      </w:pPr>
      <w:r w:rsidRPr="00B71986">
        <w:rPr>
          <w:rFonts w:ascii="Open Sans" w:hAnsi="Open Sans" w:cs="Open Sans"/>
          <w:sz w:val="18"/>
          <w:szCs w:val="18"/>
          <w:lang w:eastAsia="en-GB"/>
        </w:rPr>
        <w:t>La régularisation est effectuée dans les 12 mois suivant la date de réception.</w:t>
      </w:r>
    </w:p>
    <w:p w14:paraId="4851AFE0" w14:textId="449EC5E1" w:rsidR="00B71986" w:rsidRPr="00B71986" w:rsidRDefault="00B71986" w:rsidP="00B71986">
      <w:pPr>
        <w:pStyle w:val="Titre3"/>
        <w:spacing w:before="240" w:after="200"/>
        <w:rPr>
          <w:rFonts w:ascii="Open Sans" w:hAnsi="Open Sans" w:cs="Open Sans"/>
          <w:color w:val="000000" w:themeColor="text1"/>
        </w:rPr>
      </w:pPr>
      <w:bookmarkStart w:id="93" w:name="_Toc235033101"/>
      <w:bookmarkStart w:id="94" w:name="_Toc237529673"/>
      <w:r w:rsidRPr="00B71986">
        <w:rPr>
          <w:rFonts w:ascii="Open Sans" w:hAnsi="Open Sans" w:cs="Open Sans"/>
          <w:color w:val="000000" w:themeColor="text1"/>
        </w:rPr>
        <w:t>Régularisation</w:t>
      </w:r>
      <w:bookmarkEnd w:id="93"/>
      <w:bookmarkEnd w:id="94"/>
      <w:r w:rsidRPr="00B71986">
        <w:rPr>
          <w:rFonts w:ascii="Open Sans" w:hAnsi="Open Sans" w:cs="Open Sans"/>
          <w:color w:val="000000" w:themeColor="text1"/>
        </w:rPr>
        <w:t xml:space="preserve"> </w:t>
      </w:r>
    </w:p>
    <w:p w14:paraId="00D503EA"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En fin de chantier, l’assuré s’engage à communiquer le montant définitif de l’opération, c’est-à-dire le montant total des travaux, y compris les honoraires des bureaux de contrôle, architectes et BET ; la prime définitive sera calculée par application du taux définitif (taux de base + taux de prolongation éventuelle) sur ce montant.</w:t>
      </w:r>
    </w:p>
    <w:p w14:paraId="356045B0" w14:textId="6BBAB91C" w:rsidR="00803356" w:rsidRDefault="00803356" w:rsidP="005E2F88">
      <w:pPr>
        <w:rPr>
          <w:rFonts w:ascii="Open Sans" w:hAnsi="Open Sans" w:cs="Open Sans"/>
          <w:bCs/>
          <w:sz w:val="18"/>
          <w:szCs w:val="18"/>
          <w:lang w:val="fr-BE" w:eastAsia="en-GB"/>
        </w:rPr>
      </w:pPr>
    </w:p>
    <w:p w14:paraId="20E4EEF0" w14:textId="4FCD5E0E" w:rsidR="00B71986" w:rsidRPr="00B71986" w:rsidRDefault="00142A2F" w:rsidP="00316DF6">
      <w:pPr>
        <w:pStyle w:val="Titre2"/>
      </w:pPr>
      <w:r>
        <w:rPr>
          <w:caps w:val="0"/>
        </w:rPr>
        <w:t> </w:t>
      </w:r>
      <w:bookmarkStart w:id="95" w:name="_Toc237529674"/>
      <w:r>
        <w:rPr>
          <w:caps w:val="0"/>
        </w:rPr>
        <w:t>DUREE DE LA GARANTIE</w:t>
      </w:r>
      <w:bookmarkEnd w:id="95"/>
    </w:p>
    <w:p w14:paraId="04C19010" w14:textId="7C7DE70D" w:rsidR="00B71986" w:rsidRPr="00B71986" w:rsidRDefault="00B71986" w:rsidP="00B71986">
      <w:pPr>
        <w:pStyle w:val="Titre3"/>
        <w:spacing w:before="240" w:after="200"/>
        <w:rPr>
          <w:rFonts w:ascii="Open Sans" w:hAnsi="Open Sans" w:cs="Open Sans"/>
          <w:color w:val="000000" w:themeColor="text1"/>
        </w:rPr>
      </w:pPr>
      <w:bookmarkStart w:id="96" w:name="_Toc235033103"/>
      <w:bookmarkStart w:id="97" w:name="_Toc237529675"/>
      <w:r w:rsidRPr="00B71986">
        <w:rPr>
          <w:rFonts w:ascii="Open Sans" w:hAnsi="Open Sans" w:cs="Open Sans"/>
          <w:color w:val="000000" w:themeColor="text1"/>
        </w:rPr>
        <w:t>Point de départ de la garantie</w:t>
      </w:r>
      <w:bookmarkEnd w:id="96"/>
      <w:bookmarkEnd w:id="97"/>
      <w:r w:rsidRPr="00B71986">
        <w:rPr>
          <w:rFonts w:ascii="Open Sans" w:hAnsi="Open Sans" w:cs="Open Sans"/>
          <w:color w:val="000000" w:themeColor="text1"/>
        </w:rPr>
        <w:t xml:space="preserve"> </w:t>
      </w:r>
    </w:p>
    <w:p w14:paraId="10C05942"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La période de garantie commence à date de notification du présent marché.</w:t>
      </w:r>
    </w:p>
    <w:p w14:paraId="5BFC555F" w14:textId="00022025" w:rsidR="00B71986" w:rsidRPr="00B71986" w:rsidRDefault="00B71986" w:rsidP="00B71986">
      <w:pPr>
        <w:pStyle w:val="Titre3"/>
        <w:spacing w:before="240" w:after="200"/>
        <w:rPr>
          <w:rFonts w:ascii="Open Sans" w:hAnsi="Open Sans" w:cs="Open Sans"/>
          <w:color w:val="000000" w:themeColor="text1"/>
        </w:rPr>
      </w:pPr>
      <w:bookmarkStart w:id="98" w:name="_Toc235033104"/>
      <w:bookmarkStart w:id="99" w:name="_Toc237529676"/>
      <w:r w:rsidRPr="00B71986">
        <w:rPr>
          <w:rFonts w:ascii="Open Sans" w:hAnsi="Open Sans" w:cs="Open Sans"/>
          <w:color w:val="000000" w:themeColor="text1"/>
        </w:rPr>
        <w:t>Fin de la garantie</w:t>
      </w:r>
      <w:bookmarkEnd w:id="98"/>
      <w:bookmarkEnd w:id="99"/>
      <w:r w:rsidRPr="00B71986">
        <w:rPr>
          <w:rFonts w:ascii="Open Sans" w:hAnsi="Open Sans" w:cs="Open Sans"/>
          <w:color w:val="000000" w:themeColor="text1"/>
        </w:rPr>
        <w:t xml:space="preserve"> </w:t>
      </w:r>
    </w:p>
    <w:p w14:paraId="7A640EA6" w14:textId="77777777" w:rsidR="00B71986" w:rsidRPr="00B71986" w:rsidRDefault="00B71986" w:rsidP="00B71986">
      <w:pPr>
        <w:rPr>
          <w:rFonts w:ascii="Open Sans" w:hAnsi="Open Sans" w:cs="Open Sans"/>
          <w:sz w:val="18"/>
          <w:szCs w:val="18"/>
          <w:lang w:eastAsia="en-GB"/>
        </w:rPr>
      </w:pPr>
      <w:r w:rsidRPr="00B71986">
        <w:rPr>
          <w:rFonts w:ascii="Open Sans" w:hAnsi="Open Sans" w:cs="Open Sans"/>
          <w:sz w:val="18"/>
          <w:szCs w:val="18"/>
          <w:lang w:eastAsia="en-GB"/>
        </w:rPr>
        <w:t xml:space="preserve">La garantie s'achèvera à la date de réception de l’ouvrage. </w:t>
      </w:r>
    </w:p>
    <w:p w14:paraId="528E6B33" w14:textId="0CBA3C0E" w:rsidR="00B71986" w:rsidRPr="00B3229A" w:rsidRDefault="00B71986" w:rsidP="00934C76">
      <w:pPr>
        <w:pStyle w:val="Normal2"/>
        <w:spacing w:after="200"/>
        <w:ind w:left="0"/>
        <w:rPr>
          <w:rFonts w:ascii="Open Sans" w:hAnsi="Open Sans" w:cs="Open Sans"/>
          <w:color w:val="000000" w:themeColor="text1"/>
          <w:sz w:val="18"/>
          <w:szCs w:val="18"/>
        </w:rPr>
      </w:pPr>
    </w:p>
    <w:p w14:paraId="1F8FCD92" w14:textId="77777777" w:rsidR="00AA4B3C" w:rsidRPr="002B6FC0" w:rsidRDefault="00AA4B3C" w:rsidP="00316DF6">
      <w:pPr>
        <w:pStyle w:val="Titre2"/>
      </w:pPr>
      <w:bookmarkStart w:id="100" w:name="_Toc237529677"/>
      <w:r>
        <w:lastRenderedPageBreak/>
        <w:t>DEROGATIONS</w:t>
      </w:r>
      <w:bookmarkEnd w:id="100"/>
    </w:p>
    <w:p w14:paraId="4C35EABF" w14:textId="77777777" w:rsidR="00142A2F" w:rsidRPr="007B168F" w:rsidRDefault="00142A2F" w:rsidP="00142A2F">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1.6 du présent cahier des clauses particulières (CCP) déroge à l’article 4.1 sur l’ordre de priorité des pièces contractuelles. </w:t>
      </w:r>
    </w:p>
    <w:p w14:paraId="4B7B86C4" w14:textId="77777777" w:rsidR="00142A2F" w:rsidRPr="007B168F" w:rsidRDefault="00142A2F" w:rsidP="00142A2F">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1.9 déroge à l’article 10.1 </w:t>
      </w:r>
      <w:r>
        <w:rPr>
          <w:rFonts w:ascii="Open Sans" w:hAnsi="Open Sans" w:cs="Open Sans"/>
          <w:i w:val="0"/>
          <w:color w:val="000000" w:themeColor="text1"/>
          <w:sz w:val="18"/>
          <w:szCs w:val="18"/>
        </w:rPr>
        <w:t xml:space="preserve">relatif au prix </w:t>
      </w:r>
      <w:r w:rsidRPr="007B168F">
        <w:rPr>
          <w:rFonts w:ascii="Open Sans" w:hAnsi="Open Sans" w:cs="Open Sans"/>
          <w:i w:val="0"/>
          <w:color w:val="000000" w:themeColor="text1"/>
          <w:sz w:val="18"/>
          <w:szCs w:val="18"/>
        </w:rPr>
        <w:t xml:space="preserve">du CCAG. </w:t>
      </w:r>
    </w:p>
    <w:p w14:paraId="5CEDDDD3" w14:textId="77777777" w:rsidR="00142A2F" w:rsidRPr="007B168F" w:rsidRDefault="00142A2F" w:rsidP="00142A2F">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Les articles 1.20 du présent cahier des clauses particulières (CCP) déroge à l’article 42.1 C du CCAG FCS relatif à la résiliation aux torts pour défaut d’acquittement des obligations.</w:t>
      </w:r>
    </w:p>
    <w:p w14:paraId="2C63D294" w14:textId="77777777" w:rsidR="00142A2F" w:rsidRPr="007B168F" w:rsidRDefault="00142A2F" w:rsidP="00142A2F">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L’article 1.24 du présent cahier des clauses particulières (CCP) déroge à l’article 14.1.3 du CCAG FCS relatif à l’exonération des pénalités dont le montant total ne dépasse pas 1 000€ ».</w:t>
      </w:r>
    </w:p>
    <w:p w14:paraId="331EBFAB" w14:textId="33E3FB8C" w:rsidR="00BA1BAD" w:rsidRPr="002E6BBE" w:rsidRDefault="00BA1BAD" w:rsidP="00142A2F">
      <w:pPr>
        <w:pStyle w:val="Normal2"/>
        <w:spacing w:after="200"/>
        <w:ind w:left="0"/>
        <w:rPr>
          <w:rFonts w:ascii="Open Sans" w:hAnsi="Open Sans" w:cs="Open Sans"/>
          <w:color w:val="000000" w:themeColor="text1"/>
          <w:sz w:val="18"/>
          <w:szCs w:val="18"/>
        </w:rPr>
      </w:pPr>
    </w:p>
    <w:sectPr w:rsidR="00BA1BAD" w:rsidRPr="002E6BBE" w:rsidSect="00B40B54">
      <w:footerReference w:type="even" r:id="rId27"/>
      <w:footerReference w:type="default" r:id="rId28"/>
      <w:footerReference w:type="first" r:id="rId29"/>
      <w:pgSz w:w="11907" w:h="16840" w:code="9"/>
      <w:pgMar w:top="1077" w:right="1418"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CB13D" w14:textId="77777777" w:rsidR="009021E8" w:rsidRDefault="009021E8">
      <w:r>
        <w:separator/>
      </w:r>
    </w:p>
  </w:endnote>
  <w:endnote w:type="continuationSeparator" w:id="0">
    <w:p w14:paraId="6702A3C1" w14:textId="77777777" w:rsidR="009021E8" w:rsidRDefault="00902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ontserrat">
    <w:panose1 w:val="02000505000000020004"/>
    <w:charset w:val="00"/>
    <w:family w:val="auto"/>
    <w:pitch w:val="variable"/>
    <w:sig w:usb0="8000002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CCA3F" w14:textId="021E166E" w:rsidR="00726141" w:rsidRDefault="00726141">
    <w:pPr>
      <w:pStyle w:val="Pieddepage"/>
    </w:pPr>
    <w:r>
      <w:rPr>
        <w:noProof/>
      </w:rPr>
      <mc:AlternateContent>
        <mc:Choice Requires="wps">
          <w:drawing>
            <wp:anchor distT="0" distB="0" distL="0" distR="0" simplePos="0" relativeHeight="251662336" behindDoc="0" locked="0" layoutInCell="1" allowOverlap="1" wp14:anchorId="574F1EAD" wp14:editId="1158ACD8">
              <wp:simplePos x="635" y="635"/>
              <wp:positionH relativeFrom="page">
                <wp:align>center</wp:align>
              </wp:positionH>
              <wp:positionV relativeFrom="page">
                <wp:align>bottom</wp:align>
              </wp:positionV>
              <wp:extent cx="609600" cy="333375"/>
              <wp:effectExtent l="0" t="0" r="0" b="0"/>
              <wp:wrapNone/>
              <wp:docPr id="388345139" name="Zone de texte 5"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74F1EAD" id="_x0000_t202" coordsize="21600,21600" o:spt="202" path="m,l,21600r21600,l21600,xe">
              <v:stroke joinstyle="miter"/>
              <v:path gradientshapeok="t" o:connecttype="rect"/>
            </v:shapetype>
            <v:shape id="Zone de texte 5" o:spid="_x0000_s1027" type="#_x0000_t202" alt="C1 - Interne" style="position:absolute;left:0;text-align:left;margin-left:0;margin-top:0;width:48pt;height:26.2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Cj2u7dOQIAAFwEAAAOAAAAAAAAAAAAAAAA&#10;AC4CAABkcnMvZTJvRG9jLnhtbFBLAQItABQABgAIAAAAIQCk/mao2QAAAAMBAAAPAAAAAAAAAAAA&#10;AAAAAJMEAABkcnMvZG93bnJldi54bWxQSwUGAAAAAAQABADzAAAAmQUAAAAA&#10;" filled="f" stroked="f">
              <v:textbox style="mso-fit-shape-to-text:t" inset="0,0,0,15pt">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5670"/>
      <w:gridCol w:w="2075"/>
    </w:tblGrid>
    <w:tr w:rsidR="00B40B54" w:rsidRPr="0066536E" w14:paraId="283F046B" w14:textId="77777777" w:rsidTr="00B40B54">
      <w:trPr>
        <w:jc w:val="center"/>
      </w:trPr>
      <w:tc>
        <w:tcPr>
          <w:tcW w:w="1486" w:type="dxa"/>
        </w:tcPr>
        <w:p w14:paraId="624F8F80"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val="en-GB" w:eastAsia="en-US"/>
            </w:rPr>
            <w:t>AP-HP</w:t>
          </w:r>
        </w:p>
      </w:tc>
      <w:tc>
        <w:tcPr>
          <w:tcW w:w="5670" w:type="dxa"/>
        </w:tcPr>
        <w:p w14:paraId="2140FBDE" w14:textId="295693F8" w:rsidR="00B40B54" w:rsidRPr="0066536E" w:rsidRDefault="00B40B54" w:rsidP="00B40B54">
          <w:pPr>
            <w:pStyle w:val="Pieddepage"/>
            <w:rPr>
              <w:rFonts w:ascii="Open Sans" w:eastAsia="Calibri" w:hAnsi="Open Sans" w:cs="Open Sans"/>
              <w:sz w:val="18"/>
              <w:szCs w:val="18"/>
              <w:lang w:eastAsia="en-US"/>
            </w:rPr>
          </w:pPr>
          <w:r w:rsidRPr="0066536E">
            <w:rPr>
              <w:rFonts w:ascii="Open Sans" w:eastAsia="Calibri" w:hAnsi="Open Sans" w:cs="Open Sans"/>
              <w:sz w:val="18"/>
              <w:szCs w:val="18"/>
              <w:lang w:eastAsia="en-US"/>
            </w:rPr>
            <w:t>Consultation n°</w:t>
          </w:r>
          <w:r w:rsidR="009A58CD">
            <w:rPr>
              <w:rFonts w:ascii="Open Sans" w:eastAsia="Calibri" w:hAnsi="Open Sans" w:cs="Open Sans"/>
              <w:sz w:val="18"/>
              <w:szCs w:val="18"/>
              <w:lang w:eastAsia="en-US"/>
            </w:rPr>
            <w:t>27-0</w:t>
          </w:r>
          <w:r w:rsidR="00142A2F">
            <w:rPr>
              <w:rFonts w:ascii="Open Sans" w:eastAsia="Calibri" w:hAnsi="Open Sans" w:cs="Open Sans"/>
              <w:sz w:val="18"/>
              <w:szCs w:val="18"/>
              <w:lang w:eastAsia="en-US"/>
            </w:rPr>
            <w:t>22</w:t>
          </w:r>
        </w:p>
      </w:tc>
      <w:tc>
        <w:tcPr>
          <w:tcW w:w="2075" w:type="dxa"/>
        </w:tcPr>
        <w:p w14:paraId="550B295F" w14:textId="77777777" w:rsidR="00B40B54" w:rsidRPr="0066536E" w:rsidRDefault="00B40B54" w:rsidP="00B40B54">
          <w:pPr>
            <w:pStyle w:val="Pieddepage"/>
            <w:rPr>
              <w:rFonts w:ascii="Open Sans" w:eastAsia="Calibri" w:hAnsi="Open Sans" w:cs="Open Sans"/>
              <w:color w:val="auto"/>
              <w:sz w:val="18"/>
              <w:szCs w:val="18"/>
              <w:lang w:val="en-GB" w:eastAsia="en-US"/>
            </w:rPr>
          </w:pPr>
          <w:r w:rsidRPr="0066536E">
            <w:rPr>
              <w:rFonts w:ascii="Open Sans" w:eastAsia="Calibri" w:hAnsi="Open Sans" w:cs="Open Sans"/>
              <w:color w:val="auto"/>
              <w:sz w:val="18"/>
              <w:szCs w:val="18"/>
              <w:lang w:val="en-GB" w:eastAsia="en-US"/>
            </w:rPr>
            <w:t>ACHAT</w:t>
          </w:r>
        </w:p>
      </w:tc>
    </w:tr>
    <w:tr w:rsidR="00B40B54" w:rsidRPr="0066536E" w14:paraId="7D2684D2" w14:textId="77777777" w:rsidTr="00B40B54">
      <w:trPr>
        <w:jc w:val="center"/>
      </w:trPr>
      <w:tc>
        <w:tcPr>
          <w:tcW w:w="1486" w:type="dxa"/>
        </w:tcPr>
        <w:p w14:paraId="14994DB9" w14:textId="0E7AF69B" w:rsidR="002E1EB9" w:rsidRPr="00917297" w:rsidRDefault="00B40B54" w:rsidP="007055D5">
          <w:pPr>
            <w:jc w:val="center"/>
            <w:rPr>
              <w:rFonts w:ascii="Open Sans" w:eastAsia="Calibri" w:hAnsi="Open Sans" w:cs="Open Sans"/>
              <w:sz w:val="18"/>
              <w:szCs w:val="18"/>
              <w:lang w:eastAsia="en-US"/>
            </w:rPr>
          </w:pPr>
          <w:r w:rsidRPr="00917297">
            <w:rPr>
              <w:rFonts w:ascii="Open Sans" w:eastAsia="Calibri" w:hAnsi="Open Sans" w:cs="Open Sans"/>
              <w:color w:val="auto"/>
              <w:sz w:val="18"/>
              <w:szCs w:val="18"/>
              <w:lang w:eastAsia="en-US"/>
            </w:rPr>
            <w:t>CCAP.</w:t>
          </w:r>
          <w:r w:rsidR="007055D5">
            <w:rPr>
              <w:rFonts w:ascii="Open Sans" w:eastAsia="Calibri" w:hAnsi="Open Sans" w:cs="Open Sans"/>
              <w:color w:val="auto"/>
              <w:sz w:val="18"/>
              <w:szCs w:val="18"/>
              <w:lang w:eastAsia="en-US"/>
            </w:rPr>
            <w:t>13</w:t>
          </w:r>
        </w:p>
      </w:tc>
      <w:tc>
        <w:tcPr>
          <w:tcW w:w="5670" w:type="dxa"/>
        </w:tcPr>
        <w:p w14:paraId="5847654F" w14:textId="7693CCAC"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t>Dernière mise à jour du :</w:t>
          </w:r>
          <w:r w:rsidR="00D042A1">
            <w:rPr>
              <w:rFonts w:ascii="Open Sans" w:eastAsia="Calibri" w:hAnsi="Open Sans" w:cs="Open Sans"/>
              <w:sz w:val="18"/>
              <w:szCs w:val="18"/>
              <w:lang w:eastAsia="en-US"/>
            </w:rPr>
            <w:t xml:space="preserve"> </w:t>
          </w:r>
          <w:r w:rsidR="00142A2F">
            <w:rPr>
              <w:rFonts w:ascii="Open Sans" w:eastAsia="Calibri" w:hAnsi="Open Sans" w:cs="Open Sans"/>
              <w:sz w:val="18"/>
              <w:szCs w:val="18"/>
              <w:lang w:eastAsia="en-US"/>
            </w:rPr>
            <w:t>12/08</w:t>
          </w:r>
          <w:r w:rsidR="00D042A1">
            <w:rPr>
              <w:rFonts w:ascii="Open Sans" w:eastAsia="Calibri" w:hAnsi="Open Sans" w:cs="Open Sans"/>
              <w:sz w:val="18"/>
              <w:szCs w:val="18"/>
              <w:lang w:eastAsia="en-US"/>
            </w:rPr>
            <w:t>/2026</w:t>
          </w:r>
        </w:p>
      </w:tc>
      <w:tc>
        <w:tcPr>
          <w:tcW w:w="2075" w:type="dxa"/>
        </w:tcPr>
        <w:p w14:paraId="46065CE5"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fldChar w:fldCharType="begin"/>
          </w:r>
          <w:r w:rsidRPr="0066536E">
            <w:rPr>
              <w:rFonts w:ascii="Open Sans" w:eastAsia="Calibri" w:hAnsi="Open Sans" w:cs="Open Sans"/>
              <w:sz w:val="18"/>
              <w:szCs w:val="18"/>
              <w:lang w:eastAsia="en-US"/>
            </w:rPr>
            <w:instrText xml:space="preserve"> PAGE </w:instrText>
          </w:r>
          <w:r w:rsidRPr="0066536E">
            <w:rPr>
              <w:rFonts w:ascii="Open Sans" w:eastAsia="Calibri" w:hAnsi="Open Sans" w:cs="Open Sans"/>
              <w:sz w:val="18"/>
              <w:szCs w:val="18"/>
              <w:lang w:eastAsia="en-US"/>
            </w:rPr>
            <w:fldChar w:fldCharType="separate"/>
          </w:r>
          <w:r>
            <w:rPr>
              <w:rFonts w:ascii="Open Sans" w:eastAsia="Calibri" w:hAnsi="Open Sans" w:cs="Open Sans"/>
              <w:noProof/>
              <w:sz w:val="18"/>
              <w:szCs w:val="18"/>
              <w:lang w:eastAsia="en-US"/>
            </w:rPr>
            <w:t>20</w:t>
          </w:r>
          <w:r w:rsidRPr="0066536E">
            <w:rPr>
              <w:rFonts w:ascii="Open Sans" w:eastAsia="Calibri" w:hAnsi="Open Sans" w:cs="Open Sans"/>
              <w:sz w:val="18"/>
              <w:szCs w:val="18"/>
              <w:lang w:eastAsia="en-US"/>
            </w:rPr>
            <w:fldChar w:fldCharType="end"/>
          </w:r>
          <w:r w:rsidRPr="0066536E">
            <w:rPr>
              <w:rFonts w:ascii="Open Sans" w:eastAsia="Calibri" w:hAnsi="Open Sans" w:cs="Open Sans"/>
              <w:sz w:val="18"/>
              <w:szCs w:val="18"/>
              <w:lang w:eastAsia="en-US"/>
            </w:rPr>
            <w:t xml:space="preserve"> / </w:t>
          </w:r>
          <w:r w:rsidRPr="0066536E">
            <w:rPr>
              <w:rStyle w:val="Numrodepage"/>
              <w:rFonts w:ascii="Open Sans" w:eastAsia="Calibri" w:hAnsi="Open Sans" w:cs="Open Sans"/>
              <w:sz w:val="18"/>
              <w:szCs w:val="18"/>
              <w:lang w:eastAsia="en-US"/>
            </w:rPr>
            <w:fldChar w:fldCharType="begin"/>
          </w:r>
          <w:r w:rsidRPr="0066536E">
            <w:rPr>
              <w:rStyle w:val="Numrodepage"/>
              <w:rFonts w:ascii="Open Sans" w:eastAsia="Calibri" w:hAnsi="Open Sans" w:cs="Open Sans"/>
              <w:sz w:val="18"/>
              <w:szCs w:val="18"/>
              <w:lang w:eastAsia="en-US"/>
            </w:rPr>
            <w:instrText xml:space="preserve"> NUMPAGES </w:instrText>
          </w:r>
          <w:r w:rsidRPr="0066536E">
            <w:rPr>
              <w:rStyle w:val="Numrodepage"/>
              <w:rFonts w:ascii="Open Sans" w:eastAsia="Calibri" w:hAnsi="Open Sans" w:cs="Open Sans"/>
              <w:sz w:val="18"/>
              <w:szCs w:val="18"/>
              <w:lang w:eastAsia="en-US"/>
            </w:rPr>
            <w:fldChar w:fldCharType="separate"/>
          </w:r>
          <w:r>
            <w:rPr>
              <w:rStyle w:val="Numrodepage"/>
              <w:rFonts w:ascii="Open Sans" w:eastAsia="Calibri" w:hAnsi="Open Sans" w:cs="Open Sans"/>
              <w:noProof/>
              <w:sz w:val="18"/>
              <w:szCs w:val="18"/>
              <w:lang w:eastAsia="en-US"/>
            </w:rPr>
            <w:t>28</w:t>
          </w:r>
          <w:r w:rsidRPr="0066536E">
            <w:rPr>
              <w:rStyle w:val="Numrodepage"/>
              <w:rFonts w:ascii="Open Sans" w:eastAsia="Calibri" w:hAnsi="Open Sans" w:cs="Open Sans"/>
              <w:sz w:val="18"/>
              <w:szCs w:val="18"/>
              <w:lang w:eastAsia="en-US"/>
            </w:rPr>
            <w:fldChar w:fldCharType="end"/>
          </w:r>
        </w:p>
      </w:tc>
    </w:tr>
  </w:tbl>
  <w:p w14:paraId="1E93E00A" w14:textId="3EC9E47E" w:rsidR="00726141" w:rsidRDefault="0072614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56BE3" w14:textId="409D96C7" w:rsidR="00726141" w:rsidRDefault="00726141">
    <w:pPr>
      <w:pStyle w:val="Pieddepage"/>
    </w:pPr>
    <w:r>
      <w:rPr>
        <w:noProof/>
      </w:rPr>
      <mc:AlternateContent>
        <mc:Choice Requires="wps">
          <w:drawing>
            <wp:anchor distT="0" distB="0" distL="0" distR="0" simplePos="0" relativeHeight="251661312" behindDoc="0" locked="0" layoutInCell="1" allowOverlap="1" wp14:anchorId="78AE2110" wp14:editId="4B375BAC">
              <wp:simplePos x="635" y="635"/>
              <wp:positionH relativeFrom="page">
                <wp:align>center</wp:align>
              </wp:positionH>
              <wp:positionV relativeFrom="page">
                <wp:align>bottom</wp:align>
              </wp:positionV>
              <wp:extent cx="609600" cy="333375"/>
              <wp:effectExtent l="0" t="0" r="0" b="0"/>
              <wp:wrapNone/>
              <wp:docPr id="9937711" name="Zone de texte 4"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8AE2110" id="_x0000_t202" coordsize="21600,21600" o:spt="202" path="m,l,21600r21600,l21600,xe">
              <v:stroke joinstyle="miter"/>
              <v:path gradientshapeok="t" o:connecttype="rect"/>
            </v:shapetype>
            <v:shape id="Zone de texte 4" o:spid="_x0000_s1028" type="#_x0000_t202" alt="C1 - Interne" style="position:absolute;left:0;text-align:left;margin-left:0;margin-top:0;width:48pt;height:26.2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" filled="f" stroked="f">
              <v:textbox style="mso-fit-shape-to-text:t" inset="0,0,0,15pt">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C2A1E" w14:textId="77777777" w:rsidR="009021E8" w:rsidRDefault="009021E8">
      <w:r>
        <w:separator/>
      </w:r>
    </w:p>
  </w:footnote>
  <w:footnote w:type="continuationSeparator" w:id="0">
    <w:p w14:paraId="463C4D1C" w14:textId="77777777" w:rsidR="009021E8" w:rsidRDefault="009021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637"/>
    <w:multiLevelType w:val="hybridMultilevel"/>
    <w:tmpl w:val="FA0ADDA8"/>
    <w:lvl w:ilvl="0" w:tplc="8410EC62">
      <w:start w:val="3"/>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F60853"/>
    <w:multiLevelType w:val="hybridMultilevel"/>
    <w:tmpl w:val="30F80CF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0BB557F3"/>
    <w:multiLevelType w:val="hybridMultilevel"/>
    <w:tmpl w:val="C82607C4"/>
    <w:lvl w:ilvl="0" w:tplc="622810DA">
      <w:start w:val="9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E37AB0"/>
    <w:multiLevelType w:val="multilevel"/>
    <w:tmpl w:val="481855A6"/>
    <w:lvl w:ilvl="0">
      <w:start w:val="1"/>
      <w:numFmt w:val="upperRoman"/>
      <w:pStyle w:val="Titre1"/>
      <w:suff w:val="space"/>
      <w:lvlText w:val="%1)"/>
      <w:lvlJc w:val="left"/>
      <w:pPr>
        <w:ind w:left="432" w:hanging="432"/>
      </w:pPr>
      <w:rPr>
        <w:rFonts w:hint="default"/>
      </w:rPr>
    </w:lvl>
    <w:lvl w:ilvl="1">
      <w:start w:val="1"/>
      <w:numFmt w:val="decimal"/>
      <w:lvlRestart w:val="0"/>
      <w:pStyle w:val="Titre2"/>
      <w:suff w:val="space"/>
      <w:lvlText w:val="ARTICLE %2 :"/>
      <w:lvlJc w:val="left"/>
      <w:pPr>
        <w:ind w:left="2561" w:hanging="576"/>
      </w:pPr>
      <w:rPr>
        <w:rFonts w:hint="default"/>
      </w:rPr>
    </w:lvl>
    <w:lvl w:ilvl="2">
      <w:start w:val="1"/>
      <w:numFmt w:val="decimal"/>
      <w:pStyle w:val="Titre3"/>
      <w:lvlText w:val="%2.%3 :"/>
      <w:lvlJc w:val="left"/>
      <w:pPr>
        <w:tabs>
          <w:tab w:val="num" w:pos="1647"/>
        </w:tabs>
        <w:ind w:left="1287" w:hanging="720"/>
      </w:pPr>
      <w:rPr>
        <w:rFonts w:hint="default"/>
        <w:strike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4" w15:restartNumberingAfterBreak="0">
    <w:nsid w:val="22E439D4"/>
    <w:multiLevelType w:val="hybridMultilevel"/>
    <w:tmpl w:val="7C60EFD6"/>
    <w:lvl w:ilvl="0" w:tplc="39F02A1E">
      <w:start w:val="10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C8C4178"/>
    <w:multiLevelType w:val="hybridMultilevel"/>
    <w:tmpl w:val="B60C74B4"/>
    <w:lvl w:ilvl="0" w:tplc="5DACFD3E">
      <w:numFmt w:val="bullet"/>
      <w:lvlText w:val="-"/>
      <w:lvlJc w:val="left"/>
      <w:pPr>
        <w:tabs>
          <w:tab w:val="num" w:pos="505"/>
        </w:tabs>
        <w:ind w:left="505" w:hanging="363"/>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AF422B"/>
    <w:multiLevelType w:val="hybridMultilevel"/>
    <w:tmpl w:val="8114545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7877089"/>
    <w:multiLevelType w:val="hybridMultilevel"/>
    <w:tmpl w:val="FA5EA7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9AD62F7"/>
    <w:multiLevelType w:val="hybridMultilevel"/>
    <w:tmpl w:val="AD8658AE"/>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D8E23A2"/>
    <w:multiLevelType w:val="hybridMultilevel"/>
    <w:tmpl w:val="899E0FE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E243303"/>
    <w:multiLevelType w:val="hybridMultilevel"/>
    <w:tmpl w:val="56989F6A"/>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22972C3"/>
    <w:multiLevelType w:val="hybridMultilevel"/>
    <w:tmpl w:val="0568CFE4"/>
    <w:lvl w:ilvl="0" w:tplc="C2585826">
      <w:start w:val="3"/>
      <w:numFmt w:val="bullet"/>
      <w:lvlText w:val="-"/>
      <w:lvlJc w:val="left"/>
      <w:pPr>
        <w:ind w:left="720" w:hanging="360"/>
      </w:pPr>
      <w:rPr>
        <w:rFont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5B242C7"/>
    <w:multiLevelType w:val="hybridMultilevel"/>
    <w:tmpl w:val="41C6D9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5E0A7A40"/>
    <w:multiLevelType w:val="hybridMultilevel"/>
    <w:tmpl w:val="49A4A82C"/>
    <w:lvl w:ilvl="0" w:tplc="FD52F68E">
      <w:numFmt w:val="bullet"/>
      <w:lvlText w:val="-"/>
      <w:lvlJc w:val="left"/>
      <w:pPr>
        <w:ind w:left="720" w:hanging="360"/>
      </w:pPr>
      <w:rPr>
        <w:rFonts w:ascii="Century Gothic" w:eastAsia="Times New Roman"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5345378"/>
    <w:multiLevelType w:val="hybridMultilevel"/>
    <w:tmpl w:val="77B4CC76"/>
    <w:lvl w:ilvl="0" w:tplc="9BFC988A">
      <w:numFmt w:val="bullet"/>
      <w:lvlText w:val=""/>
      <w:lvlJc w:val="left"/>
      <w:pPr>
        <w:ind w:left="720" w:hanging="360"/>
      </w:pPr>
      <w:rPr>
        <w:rFonts w:ascii="Symbol" w:eastAsia="Times New Roman" w:hAnsi="Symbol" w:cs="Open San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7E457B0"/>
    <w:multiLevelType w:val="hybridMultilevel"/>
    <w:tmpl w:val="A11C2F42"/>
    <w:lvl w:ilvl="0" w:tplc="567E8B60">
      <w:numFmt w:val="bullet"/>
      <w:lvlText w:val="-"/>
      <w:lvlJc w:val="left"/>
      <w:pPr>
        <w:ind w:left="720" w:hanging="360"/>
      </w:pPr>
      <w:rPr>
        <w:rFonts w:ascii="Times New Roman" w:eastAsia="Calibr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FE70AB4"/>
    <w:multiLevelType w:val="hybridMultilevel"/>
    <w:tmpl w:val="D4A0AF30"/>
    <w:lvl w:ilvl="0" w:tplc="3F5E6128">
      <w:start w:val="13"/>
      <w:numFmt w:val="bullet"/>
      <w:lvlText w:val="-"/>
      <w:lvlJc w:val="left"/>
      <w:pPr>
        <w:ind w:left="1068" w:hanging="360"/>
      </w:pPr>
      <w:rPr>
        <w:rFonts w:ascii="Open Sans" w:eastAsia="Times New Roman" w:hAnsi="Open Sans" w:cs="Open San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3"/>
  </w:num>
  <w:num w:numId="2">
    <w:abstractNumId w:val="5"/>
  </w:num>
  <w:num w:numId="3">
    <w:abstractNumId w:val="13"/>
  </w:num>
  <w:num w:numId="4">
    <w:abstractNumId w:val="11"/>
  </w:num>
  <w:num w:numId="5">
    <w:abstractNumId w:val="16"/>
  </w:num>
  <w:num w:numId="6">
    <w:abstractNumId w:val="12"/>
  </w:num>
  <w:num w:numId="7">
    <w:abstractNumId w:val="2"/>
  </w:num>
  <w:num w:numId="8">
    <w:abstractNumId w:val="10"/>
  </w:num>
  <w:num w:numId="9">
    <w:abstractNumId w:val="4"/>
  </w:num>
  <w:num w:numId="10">
    <w:abstractNumId w:val="9"/>
  </w:num>
  <w:num w:numId="11">
    <w:abstractNumId w:val="1"/>
  </w:num>
  <w:num w:numId="12">
    <w:abstractNumId w:val="6"/>
  </w:num>
  <w:num w:numId="13">
    <w:abstractNumId w:val="8"/>
  </w:num>
  <w:num w:numId="14">
    <w:abstractNumId w:val="0"/>
  </w:num>
  <w:num w:numId="15">
    <w:abstractNumId w:val="15"/>
  </w:num>
  <w:num w:numId="16">
    <w:abstractNumId w:val="14"/>
  </w:num>
  <w:num w:numId="17">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6F1"/>
    <w:rsid w:val="0000052B"/>
    <w:rsid w:val="00000B95"/>
    <w:rsid w:val="00002829"/>
    <w:rsid w:val="000046A8"/>
    <w:rsid w:val="00004A5E"/>
    <w:rsid w:val="0000560E"/>
    <w:rsid w:val="00005691"/>
    <w:rsid w:val="00005829"/>
    <w:rsid w:val="00007D8A"/>
    <w:rsid w:val="00007EC5"/>
    <w:rsid w:val="000113C4"/>
    <w:rsid w:val="00012F17"/>
    <w:rsid w:val="000131E5"/>
    <w:rsid w:val="000147F8"/>
    <w:rsid w:val="0001536E"/>
    <w:rsid w:val="00015562"/>
    <w:rsid w:val="00015DBE"/>
    <w:rsid w:val="0002016E"/>
    <w:rsid w:val="00021CD8"/>
    <w:rsid w:val="00023CD9"/>
    <w:rsid w:val="00024029"/>
    <w:rsid w:val="0002521C"/>
    <w:rsid w:val="00025E30"/>
    <w:rsid w:val="000308A8"/>
    <w:rsid w:val="00030E0D"/>
    <w:rsid w:val="0003189B"/>
    <w:rsid w:val="00031C19"/>
    <w:rsid w:val="00033503"/>
    <w:rsid w:val="0003479B"/>
    <w:rsid w:val="00036D38"/>
    <w:rsid w:val="00037FF2"/>
    <w:rsid w:val="00040782"/>
    <w:rsid w:val="000446F1"/>
    <w:rsid w:val="00044AA7"/>
    <w:rsid w:val="00044CA2"/>
    <w:rsid w:val="00053027"/>
    <w:rsid w:val="0005337D"/>
    <w:rsid w:val="00055717"/>
    <w:rsid w:val="00057AE1"/>
    <w:rsid w:val="000606C5"/>
    <w:rsid w:val="00060C25"/>
    <w:rsid w:val="00060D45"/>
    <w:rsid w:val="00064CE2"/>
    <w:rsid w:val="00065BBF"/>
    <w:rsid w:val="00070CE6"/>
    <w:rsid w:val="00072A39"/>
    <w:rsid w:val="00073404"/>
    <w:rsid w:val="00073E7C"/>
    <w:rsid w:val="00074A29"/>
    <w:rsid w:val="000754B3"/>
    <w:rsid w:val="000767B9"/>
    <w:rsid w:val="00076FDB"/>
    <w:rsid w:val="00077F9D"/>
    <w:rsid w:val="000812C4"/>
    <w:rsid w:val="00091636"/>
    <w:rsid w:val="00093C39"/>
    <w:rsid w:val="00093F83"/>
    <w:rsid w:val="00094CAF"/>
    <w:rsid w:val="00095DCE"/>
    <w:rsid w:val="0009772B"/>
    <w:rsid w:val="000A16CE"/>
    <w:rsid w:val="000A1D6F"/>
    <w:rsid w:val="000A4F78"/>
    <w:rsid w:val="000A519E"/>
    <w:rsid w:val="000A5D2A"/>
    <w:rsid w:val="000A644A"/>
    <w:rsid w:val="000A758C"/>
    <w:rsid w:val="000B147F"/>
    <w:rsid w:val="000B14E7"/>
    <w:rsid w:val="000B4EC0"/>
    <w:rsid w:val="000B54FD"/>
    <w:rsid w:val="000C1B41"/>
    <w:rsid w:val="000C4330"/>
    <w:rsid w:val="000C7005"/>
    <w:rsid w:val="000D307B"/>
    <w:rsid w:val="000D3457"/>
    <w:rsid w:val="000D44D3"/>
    <w:rsid w:val="000D5D5D"/>
    <w:rsid w:val="000E02F2"/>
    <w:rsid w:val="000E02F6"/>
    <w:rsid w:val="000E24EC"/>
    <w:rsid w:val="000E387E"/>
    <w:rsid w:val="000E719B"/>
    <w:rsid w:val="000F0182"/>
    <w:rsid w:val="000F03CD"/>
    <w:rsid w:val="000F21D6"/>
    <w:rsid w:val="000F226E"/>
    <w:rsid w:val="000F43EF"/>
    <w:rsid w:val="000F7F3E"/>
    <w:rsid w:val="0010153A"/>
    <w:rsid w:val="0010174E"/>
    <w:rsid w:val="001018FA"/>
    <w:rsid w:val="001023B2"/>
    <w:rsid w:val="00104451"/>
    <w:rsid w:val="001045C8"/>
    <w:rsid w:val="001055B1"/>
    <w:rsid w:val="00105CA4"/>
    <w:rsid w:val="00107295"/>
    <w:rsid w:val="00107330"/>
    <w:rsid w:val="001078B0"/>
    <w:rsid w:val="00113C39"/>
    <w:rsid w:val="00116CF1"/>
    <w:rsid w:val="00117349"/>
    <w:rsid w:val="00117732"/>
    <w:rsid w:val="001235B1"/>
    <w:rsid w:val="001239A3"/>
    <w:rsid w:val="00123E74"/>
    <w:rsid w:val="00124630"/>
    <w:rsid w:val="00124E83"/>
    <w:rsid w:val="00125128"/>
    <w:rsid w:val="00126305"/>
    <w:rsid w:val="001273FE"/>
    <w:rsid w:val="00127536"/>
    <w:rsid w:val="0013050C"/>
    <w:rsid w:val="001305FB"/>
    <w:rsid w:val="001308AF"/>
    <w:rsid w:val="00132BF7"/>
    <w:rsid w:val="00134284"/>
    <w:rsid w:val="00134F6E"/>
    <w:rsid w:val="00135951"/>
    <w:rsid w:val="0013706F"/>
    <w:rsid w:val="00141F54"/>
    <w:rsid w:val="00142A2F"/>
    <w:rsid w:val="001438BD"/>
    <w:rsid w:val="00146705"/>
    <w:rsid w:val="001530AA"/>
    <w:rsid w:val="00153440"/>
    <w:rsid w:val="00153657"/>
    <w:rsid w:val="001571C8"/>
    <w:rsid w:val="00160B94"/>
    <w:rsid w:val="001630DB"/>
    <w:rsid w:val="00165440"/>
    <w:rsid w:val="00165662"/>
    <w:rsid w:val="00165698"/>
    <w:rsid w:val="00167355"/>
    <w:rsid w:val="00172784"/>
    <w:rsid w:val="00172F9E"/>
    <w:rsid w:val="00174EAA"/>
    <w:rsid w:val="001825D2"/>
    <w:rsid w:val="0018425C"/>
    <w:rsid w:val="00184B7B"/>
    <w:rsid w:val="00185304"/>
    <w:rsid w:val="00185BA8"/>
    <w:rsid w:val="00186043"/>
    <w:rsid w:val="00195D97"/>
    <w:rsid w:val="00196114"/>
    <w:rsid w:val="0019704B"/>
    <w:rsid w:val="001973FA"/>
    <w:rsid w:val="00197E48"/>
    <w:rsid w:val="001A035F"/>
    <w:rsid w:val="001A122A"/>
    <w:rsid w:val="001A14BF"/>
    <w:rsid w:val="001A411C"/>
    <w:rsid w:val="001A5441"/>
    <w:rsid w:val="001A5AC4"/>
    <w:rsid w:val="001A6AE0"/>
    <w:rsid w:val="001B2ABA"/>
    <w:rsid w:val="001B4168"/>
    <w:rsid w:val="001B78B4"/>
    <w:rsid w:val="001C196F"/>
    <w:rsid w:val="001C2B9A"/>
    <w:rsid w:val="001C4BD6"/>
    <w:rsid w:val="001C67BC"/>
    <w:rsid w:val="001C67FE"/>
    <w:rsid w:val="001C7796"/>
    <w:rsid w:val="001C7D84"/>
    <w:rsid w:val="001D1339"/>
    <w:rsid w:val="001D151F"/>
    <w:rsid w:val="001D48B6"/>
    <w:rsid w:val="001D63EF"/>
    <w:rsid w:val="001E007C"/>
    <w:rsid w:val="001E1A7A"/>
    <w:rsid w:val="001E1AA5"/>
    <w:rsid w:val="001E4724"/>
    <w:rsid w:val="001E490A"/>
    <w:rsid w:val="001E6554"/>
    <w:rsid w:val="001E7ABA"/>
    <w:rsid w:val="001F0138"/>
    <w:rsid w:val="001F023D"/>
    <w:rsid w:val="001F0422"/>
    <w:rsid w:val="001F2E35"/>
    <w:rsid w:val="001F5D84"/>
    <w:rsid w:val="001F7C91"/>
    <w:rsid w:val="00200678"/>
    <w:rsid w:val="002012BF"/>
    <w:rsid w:val="00201732"/>
    <w:rsid w:val="002029AA"/>
    <w:rsid w:val="00202EFC"/>
    <w:rsid w:val="00205F77"/>
    <w:rsid w:val="00205FC2"/>
    <w:rsid w:val="0021018B"/>
    <w:rsid w:val="00211162"/>
    <w:rsid w:val="00212551"/>
    <w:rsid w:val="00212888"/>
    <w:rsid w:val="00212BAF"/>
    <w:rsid w:val="002152C2"/>
    <w:rsid w:val="002159AB"/>
    <w:rsid w:val="00216BAF"/>
    <w:rsid w:val="0022026E"/>
    <w:rsid w:val="002241F4"/>
    <w:rsid w:val="00224623"/>
    <w:rsid w:val="00225140"/>
    <w:rsid w:val="00226395"/>
    <w:rsid w:val="00226617"/>
    <w:rsid w:val="002273FB"/>
    <w:rsid w:val="00230B6E"/>
    <w:rsid w:val="00231ABA"/>
    <w:rsid w:val="00231ADE"/>
    <w:rsid w:val="00231B12"/>
    <w:rsid w:val="00232182"/>
    <w:rsid w:val="00237713"/>
    <w:rsid w:val="00240F5C"/>
    <w:rsid w:val="00242C99"/>
    <w:rsid w:val="00245C3F"/>
    <w:rsid w:val="00247063"/>
    <w:rsid w:val="00247FC5"/>
    <w:rsid w:val="002545EE"/>
    <w:rsid w:val="00255864"/>
    <w:rsid w:val="00260609"/>
    <w:rsid w:val="00262E27"/>
    <w:rsid w:val="00262F4A"/>
    <w:rsid w:val="00264D77"/>
    <w:rsid w:val="00270E9D"/>
    <w:rsid w:val="00271493"/>
    <w:rsid w:val="00272451"/>
    <w:rsid w:val="002729F1"/>
    <w:rsid w:val="00272B9F"/>
    <w:rsid w:val="00272C54"/>
    <w:rsid w:val="00273BA4"/>
    <w:rsid w:val="0027487A"/>
    <w:rsid w:val="0027527E"/>
    <w:rsid w:val="00277B63"/>
    <w:rsid w:val="00281672"/>
    <w:rsid w:val="00283AE5"/>
    <w:rsid w:val="00283B11"/>
    <w:rsid w:val="00285ECC"/>
    <w:rsid w:val="00286BF0"/>
    <w:rsid w:val="00293D30"/>
    <w:rsid w:val="00295074"/>
    <w:rsid w:val="002A22AF"/>
    <w:rsid w:val="002A4E3B"/>
    <w:rsid w:val="002A5C07"/>
    <w:rsid w:val="002A5D97"/>
    <w:rsid w:val="002A6E33"/>
    <w:rsid w:val="002B1950"/>
    <w:rsid w:val="002B2440"/>
    <w:rsid w:val="002B47C8"/>
    <w:rsid w:val="002B6FC0"/>
    <w:rsid w:val="002C1132"/>
    <w:rsid w:val="002C18CD"/>
    <w:rsid w:val="002C1E50"/>
    <w:rsid w:val="002C4390"/>
    <w:rsid w:val="002C74BB"/>
    <w:rsid w:val="002D001D"/>
    <w:rsid w:val="002D03FD"/>
    <w:rsid w:val="002D2B30"/>
    <w:rsid w:val="002D4BEE"/>
    <w:rsid w:val="002D5C80"/>
    <w:rsid w:val="002D72D8"/>
    <w:rsid w:val="002E0A0C"/>
    <w:rsid w:val="002E1466"/>
    <w:rsid w:val="002E1EB9"/>
    <w:rsid w:val="002E2432"/>
    <w:rsid w:val="002E24B7"/>
    <w:rsid w:val="002E35B4"/>
    <w:rsid w:val="002E5E7B"/>
    <w:rsid w:val="002E6BBE"/>
    <w:rsid w:val="002E6DA2"/>
    <w:rsid w:val="002F4297"/>
    <w:rsid w:val="002F49E2"/>
    <w:rsid w:val="002F5630"/>
    <w:rsid w:val="002F5C12"/>
    <w:rsid w:val="00300D36"/>
    <w:rsid w:val="00302AB0"/>
    <w:rsid w:val="00305841"/>
    <w:rsid w:val="003064CD"/>
    <w:rsid w:val="003068B8"/>
    <w:rsid w:val="003127FB"/>
    <w:rsid w:val="003137A3"/>
    <w:rsid w:val="00313BB0"/>
    <w:rsid w:val="003153C5"/>
    <w:rsid w:val="00315A2C"/>
    <w:rsid w:val="00316DF6"/>
    <w:rsid w:val="00320C01"/>
    <w:rsid w:val="003218E5"/>
    <w:rsid w:val="00322078"/>
    <w:rsid w:val="003267CA"/>
    <w:rsid w:val="00327EEA"/>
    <w:rsid w:val="00330FAB"/>
    <w:rsid w:val="0033509F"/>
    <w:rsid w:val="00335697"/>
    <w:rsid w:val="00340795"/>
    <w:rsid w:val="00340E0B"/>
    <w:rsid w:val="00341800"/>
    <w:rsid w:val="00342104"/>
    <w:rsid w:val="00343C61"/>
    <w:rsid w:val="00345135"/>
    <w:rsid w:val="00345DD6"/>
    <w:rsid w:val="00346BCE"/>
    <w:rsid w:val="00346CB5"/>
    <w:rsid w:val="0035222F"/>
    <w:rsid w:val="00353C9F"/>
    <w:rsid w:val="00360C84"/>
    <w:rsid w:val="003614D1"/>
    <w:rsid w:val="003615E2"/>
    <w:rsid w:val="00362DF2"/>
    <w:rsid w:val="00363E11"/>
    <w:rsid w:val="003640AB"/>
    <w:rsid w:val="00364796"/>
    <w:rsid w:val="003667B1"/>
    <w:rsid w:val="00366830"/>
    <w:rsid w:val="00374277"/>
    <w:rsid w:val="00375FD8"/>
    <w:rsid w:val="00376ABA"/>
    <w:rsid w:val="00377222"/>
    <w:rsid w:val="00381477"/>
    <w:rsid w:val="00381E4B"/>
    <w:rsid w:val="003824F9"/>
    <w:rsid w:val="003825AC"/>
    <w:rsid w:val="0038505A"/>
    <w:rsid w:val="00385AA0"/>
    <w:rsid w:val="00385D29"/>
    <w:rsid w:val="00386D80"/>
    <w:rsid w:val="00387373"/>
    <w:rsid w:val="00387FF7"/>
    <w:rsid w:val="00390B47"/>
    <w:rsid w:val="003914FF"/>
    <w:rsid w:val="003943B1"/>
    <w:rsid w:val="00394566"/>
    <w:rsid w:val="0039659A"/>
    <w:rsid w:val="00396A4D"/>
    <w:rsid w:val="00397C49"/>
    <w:rsid w:val="003A52ED"/>
    <w:rsid w:val="003A554A"/>
    <w:rsid w:val="003B4B78"/>
    <w:rsid w:val="003B5369"/>
    <w:rsid w:val="003C0C01"/>
    <w:rsid w:val="003C11B9"/>
    <w:rsid w:val="003C11CB"/>
    <w:rsid w:val="003C1C77"/>
    <w:rsid w:val="003C4050"/>
    <w:rsid w:val="003C4F4C"/>
    <w:rsid w:val="003D3793"/>
    <w:rsid w:val="003D4AF1"/>
    <w:rsid w:val="003D58D0"/>
    <w:rsid w:val="003E0215"/>
    <w:rsid w:val="003E1CDE"/>
    <w:rsid w:val="003E3CD8"/>
    <w:rsid w:val="003F0B44"/>
    <w:rsid w:val="003F55D2"/>
    <w:rsid w:val="003F6EF2"/>
    <w:rsid w:val="00400343"/>
    <w:rsid w:val="00401A70"/>
    <w:rsid w:val="00401D46"/>
    <w:rsid w:val="00403B99"/>
    <w:rsid w:val="004061B9"/>
    <w:rsid w:val="00412BF4"/>
    <w:rsid w:val="004131A9"/>
    <w:rsid w:val="00424775"/>
    <w:rsid w:val="0042663E"/>
    <w:rsid w:val="004354C2"/>
    <w:rsid w:val="0043607D"/>
    <w:rsid w:val="004363C8"/>
    <w:rsid w:val="00436BEC"/>
    <w:rsid w:val="00437183"/>
    <w:rsid w:val="00437E5B"/>
    <w:rsid w:val="00441C44"/>
    <w:rsid w:val="00444764"/>
    <w:rsid w:val="0044480C"/>
    <w:rsid w:val="00445196"/>
    <w:rsid w:val="004453EA"/>
    <w:rsid w:val="00445816"/>
    <w:rsid w:val="00445983"/>
    <w:rsid w:val="00446F48"/>
    <w:rsid w:val="00447264"/>
    <w:rsid w:val="00447779"/>
    <w:rsid w:val="00450D91"/>
    <w:rsid w:val="00452D61"/>
    <w:rsid w:val="00453616"/>
    <w:rsid w:val="00453DD1"/>
    <w:rsid w:val="00453FA4"/>
    <w:rsid w:val="00454942"/>
    <w:rsid w:val="0045600E"/>
    <w:rsid w:val="0046118D"/>
    <w:rsid w:val="0046135B"/>
    <w:rsid w:val="004628AE"/>
    <w:rsid w:val="00462CBD"/>
    <w:rsid w:val="00462CF9"/>
    <w:rsid w:val="004630B0"/>
    <w:rsid w:val="00463652"/>
    <w:rsid w:val="004666E4"/>
    <w:rsid w:val="0046673D"/>
    <w:rsid w:val="0046726F"/>
    <w:rsid w:val="00467CA2"/>
    <w:rsid w:val="00472D89"/>
    <w:rsid w:val="00472F8A"/>
    <w:rsid w:val="0047337F"/>
    <w:rsid w:val="004740C5"/>
    <w:rsid w:val="00476293"/>
    <w:rsid w:val="004815FB"/>
    <w:rsid w:val="00482225"/>
    <w:rsid w:val="00482AEF"/>
    <w:rsid w:val="00482BC2"/>
    <w:rsid w:val="004832D5"/>
    <w:rsid w:val="00486451"/>
    <w:rsid w:val="00487D5F"/>
    <w:rsid w:val="00490187"/>
    <w:rsid w:val="00493BED"/>
    <w:rsid w:val="0049651B"/>
    <w:rsid w:val="0049686C"/>
    <w:rsid w:val="004A19BD"/>
    <w:rsid w:val="004A2D6C"/>
    <w:rsid w:val="004A2D7B"/>
    <w:rsid w:val="004A6DA5"/>
    <w:rsid w:val="004A7A81"/>
    <w:rsid w:val="004B0851"/>
    <w:rsid w:val="004B205F"/>
    <w:rsid w:val="004B4061"/>
    <w:rsid w:val="004B5F06"/>
    <w:rsid w:val="004C0272"/>
    <w:rsid w:val="004C2E45"/>
    <w:rsid w:val="004C623D"/>
    <w:rsid w:val="004C6CD1"/>
    <w:rsid w:val="004C6DBF"/>
    <w:rsid w:val="004D0B76"/>
    <w:rsid w:val="004D63DF"/>
    <w:rsid w:val="004D7DDA"/>
    <w:rsid w:val="004E488D"/>
    <w:rsid w:val="004F0392"/>
    <w:rsid w:val="004F184D"/>
    <w:rsid w:val="004F2514"/>
    <w:rsid w:val="004F49AC"/>
    <w:rsid w:val="00503A08"/>
    <w:rsid w:val="00505041"/>
    <w:rsid w:val="00510386"/>
    <w:rsid w:val="00512E7B"/>
    <w:rsid w:val="00514544"/>
    <w:rsid w:val="0051524F"/>
    <w:rsid w:val="00515300"/>
    <w:rsid w:val="005218E7"/>
    <w:rsid w:val="005219F7"/>
    <w:rsid w:val="00526237"/>
    <w:rsid w:val="00532418"/>
    <w:rsid w:val="00533469"/>
    <w:rsid w:val="0053397A"/>
    <w:rsid w:val="0053498F"/>
    <w:rsid w:val="0053689F"/>
    <w:rsid w:val="005407CF"/>
    <w:rsid w:val="005417DE"/>
    <w:rsid w:val="00541DFF"/>
    <w:rsid w:val="0054257F"/>
    <w:rsid w:val="00544A05"/>
    <w:rsid w:val="00546311"/>
    <w:rsid w:val="00546E04"/>
    <w:rsid w:val="00547BEC"/>
    <w:rsid w:val="0055029B"/>
    <w:rsid w:val="005507A2"/>
    <w:rsid w:val="00550BF4"/>
    <w:rsid w:val="0055479D"/>
    <w:rsid w:val="00554C97"/>
    <w:rsid w:val="005557BF"/>
    <w:rsid w:val="00556E79"/>
    <w:rsid w:val="00557794"/>
    <w:rsid w:val="005610B2"/>
    <w:rsid w:val="00561342"/>
    <w:rsid w:val="005651C4"/>
    <w:rsid w:val="00565767"/>
    <w:rsid w:val="00565E52"/>
    <w:rsid w:val="005666EB"/>
    <w:rsid w:val="00567B84"/>
    <w:rsid w:val="00570B72"/>
    <w:rsid w:val="005733A5"/>
    <w:rsid w:val="005740FD"/>
    <w:rsid w:val="0057762F"/>
    <w:rsid w:val="00586235"/>
    <w:rsid w:val="00587658"/>
    <w:rsid w:val="00591FD0"/>
    <w:rsid w:val="00594B1F"/>
    <w:rsid w:val="00594F40"/>
    <w:rsid w:val="0059662C"/>
    <w:rsid w:val="00596A5B"/>
    <w:rsid w:val="005A067E"/>
    <w:rsid w:val="005A3989"/>
    <w:rsid w:val="005A45F1"/>
    <w:rsid w:val="005A489A"/>
    <w:rsid w:val="005A6DC4"/>
    <w:rsid w:val="005A7DA4"/>
    <w:rsid w:val="005B07F7"/>
    <w:rsid w:val="005B185E"/>
    <w:rsid w:val="005B1DA5"/>
    <w:rsid w:val="005B4CCE"/>
    <w:rsid w:val="005B5314"/>
    <w:rsid w:val="005B6381"/>
    <w:rsid w:val="005B63D4"/>
    <w:rsid w:val="005C1A40"/>
    <w:rsid w:val="005C4215"/>
    <w:rsid w:val="005C45DC"/>
    <w:rsid w:val="005C48C7"/>
    <w:rsid w:val="005C6442"/>
    <w:rsid w:val="005D1829"/>
    <w:rsid w:val="005D2972"/>
    <w:rsid w:val="005D4358"/>
    <w:rsid w:val="005D530C"/>
    <w:rsid w:val="005D5E75"/>
    <w:rsid w:val="005D763D"/>
    <w:rsid w:val="005E0612"/>
    <w:rsid w:val="005E2F88"/>
    <w:rsid w:val="005E30CF"/>
    <w:rsid w:val="005E3203"/>
    <w:rsid w:val="005E3374"/>
    <w:rsid w:val="005E7C08"/>
    <w:rsid w:val="005F1600"/>
    <w:rsid w:val="005F2B85"/>
    <w:rsid w:val="005F4FD7"/>
    <w:rsid w:val="005F7928"/>
    <w:rsid w:val="005F7B61"/>
    <w:rsid w:val="006007FF"/>
    <w:rsid w:val="00600FE3"/>
    <w:rsid w:val="00604FCC"/>
    <w:rsid w:val="00606978"/>
    <w:rsid w:val="00606AFF"/>
    <w:rsid w:val="0060715C"/>
    <w:rsid w:val="006074E0"/>
    <w:rsid w:val="006101A3"/>
    <w:rsid w:val="00613D54"/>
    <w:rsid w:val="00614AE5"/>
    <w:rsid w:val="00617922"/>
    <w:rsid w:val="00621C17"/>
    <w:rsid w:val="00622004"/>
    <w:rsid w:val="006225AE"/>
    <w:rsid w:val="00622EE8"/>
    <w:rsid w:val="006254F0"/>
    <w:rsid w:val="00625AFA"/>
    <w:rsid w:val="00625D43"/>
    <w:rsid w:val="0062786C"/>
    <w:rsid w:val="00635059"/>
    <w:rsid w:val="00636C44"/>
    <w:rsid w:val="006409D8"/>
    <w:rsid w:val="00642630"/>
    <w:rsid w:val="00643459"/>
    <w:rsid w:val="00643ACB"/>
    <w:rsid w:val="00644C79"/>
    <w:rsid w:val="006465B3"/>
    <w:rsid w:val="00647437"/>
    <w:rsid w:val="006474B4"/>
    <w:rsid w:val="00650449"/>
    <w:rsid w:val="00650660"/>
    <w:rsid w:val="00651DAD"/>
    <w:rsid w:val="00652393"/>
    <w:rsid w:val="00652C81"/>
    <w:rsid w:val="00652F6A"/>
    <w:rsid w:val="00652F9F"/>
    <w:rsid w:val="00654866"/>
    <w:rsid w:val="00655E26"/>
    <w:rsid w:val="00660687"/>
    <w:rsid w:val="00661207"/>
    <w:rsid w:val="006614A8"/>
    <w:rsid w:val="006640B0"/>
    <w:rsid w:val="00664C4B"/>
    <w:rsid w:val="0066536E"/>
    <w:rsid w:val="0066751D"/>
    <w:rsid w:val="00670413"/>
    <w:rsid w:val="006710F0"/>
    <w:rsid w:val="0067173E"/>
    <w:rsid w:val="00671857"/>
    <w:rsid w:val="00673707"/>
    <w:rsid w:val="0067573D"/>
    <w:rsid w:val="00676F2A"/>
    <w:rsid w:val="006847A4"/>
    <w:rsid w:val="00685B7E"/>
    <w:rsid w:val="0069030C"/>
    <w:rsid w:val="00690CFF"/>
    <w:rsid w:val="00691046"/>
    <w:rsid w:val="0069128D"/>
    <w:rsid w:val="00691F35"/>
    <w:rsid w:val="00692309"/>
    <w:rsid w:val="006957B0"/>
    <w:rsid w:val="00697534"/>
    <w:rsid w:val="006A1DDF"/>
    <w:rsid w:val="006A2BF1"/>
    <w:rsid w:val="006A39CD"/>
    <w:rsid w:val="006A3E36"/>
    <w:rsid w:val="006A6826"/>
    <w:rsid w:val="006A6A77"/>
    <w:rsid w:val="006A7336"/>
    <w:rsid w:val="006B0726"/>
    <w:rsid w:val="006B0F59"/>
    <w:rsid w:val="006B2080"/>
    <w:rsid w:val="006B324E"/>
    <w:rsid w:val="006B711E"/>
    <w:rsid w:val="006C07CC"/>
    <w:rsid w:val="006C159E"/>
    <w:rsid w:val="006C1EAC"/>
    <w:rsid w:val="006C4E7C"/>
    <w:rsid w:val="006C7F9E"/>
    <w:rsid w:val="006D089E"/>
    <w:rsid w:val="006D0AFB"/>
    <w:rsid w:val="006D0F21"/>
    <w:rsid w:val="006D1EC9"/>
    <w:rsid w:val="006D4C6A"/>
    <w:rsid w:val="006D4F28"/>
    <w:rsid w:val="006D6061"/>
    <w:rsid w:val="006D71B9"/>
    <w:rsid w:val="006D7858"/>
    <w:rsid w:val="006E017F"/>
    <w:rsid w:val="006E0357"/>
    <w:rsid w:val="006E0BF1"/>
    <w:rsid w:val="006E1CFB"/>
    <w:rsid w:val="006E5479"/>
    <w:rsid w:val="006E55B2"/>
    <w:rsid w:val="006F0B62"/>
    <w:rsid w:val="006F158B"/>
    <w:rsid w:val="006F22A5"/>
    <w:rsid w:val="006F3142"/>
    <w:rsid w:val="006F3392"/>
    <w:rsid w:val="006F3A70"/>
    <w:rsid w:val="006F3DA2"/>
    <w:rsid w:val="006F5C63"/>
    <w:rsid w:val="006F79EE"/>
    <w:rsid w:val="00701000"/>
    <w:rsid w:val="007033B9"/>
    <w:rsid w:val="00704260"/>
    <w:rsid w:val="007049D8"/>
    <w:rsid w:val="007049DE"/>
    <w:rsid w:val="00704F3B"/>
    <w:rsid w:val="0070533D"/>
    <w:rsid w:val="007055D5"/>
    <w:rsid w:val="00706BDF"/>
    <w:rsid w:val="00710877"/>
    <w:rsid w:val="007113DF"/>
    <w:rsid w:val="00711D41"/>
    <w:rsid w:val="0071268E"/>
    <w:rsid w:val="0071286C"/>
    <w:rsid w:val="00714DC5"/>
    <w:rsid w:val="00715549"/>
    <w:rsid w:val="00715670"/>
    <w:rsid w:val="0071615F"/>
    <w:rsid w:val="00726141"/>
    <w:rsid w:val="00727828"/>
    <w:rsid w:val="00730FF9"/>
    <w:rsid w:val="00733DDA"/>
    <w:rsid w:val="007358E9"/>
    <w:rsid w:val="00736C29"/>
    <w:rsid w:val="00737B90"/>
    <w:rsid w:val="0074048B"/>
    <w:rsid w:val="0074078F"/>
    <w:rsid w:val="0074138B"/>
    <w:rsid w:val="007418F1"/>
    <w:rsid w:val="00741E54"/>
    <w:rsid w:val="00742BE5"/>
    <w:rsid w:val="00746048"/>
    <w:rsid w:val="00746C5D"/>
    <w:rsid w:val="007478BF"/>
    <w:rsid w:val="00751E4B"/>
    <w:rsid w:val="00754E8F"/>
    <w:rsid w:val="00761823"/>
    <w:rsid w:val="00765739"/>
    <w:rsid w:val="00765A38"/>
    <w:rsid w:val="00765E1B"/>
    <w:rsid w:val="00766DD7"/>
    <w:rsid w:val="007672B2"/>
    <w:rsid w:val="00771176"/>
    <w:rsid w:val="00772498"/>
    <w:rsid w:val="0077556A"/>
    <w:rsid w:val="00777FCD"/>
    <w:rsid w:val="007804F2"/>
    <w:rsid w:val="0078086F"/>
    <w:rsid w:val="00781E9B"/>
    <w:rsid w:val="00782199"/>
    <w:rsid w:val="007839C2"/>
    <w:rsid w:val="00784F26"/>
    <w:rsid w:val="00792DC1"/>
    <w:rsid w:val="007957E6"/>
    <w:rsid w:val="007958A7"/>
    <w:rsid w:val="007A3C59"/>
    <w:rsid w:val="007A5AD7"/>
    <w:rsid w:val="007A62A8"/>
    <w:rsid w:val="007B231D"/>
    <w:rsid w:val="007B4192"/>
    <w:rsid w:val="007B4EDC"/>
    <w:rsid w:val="007B56D6"/>
    <w:rsid w:val="007B6D5D"/>
    <w:rsid w:val="007C2B0C"/>
    <w:rsid w:val="007C3028"/>
    <w:rsid w:val="007C3B77"/>
    <w:rsid w:val="007C3B81"/>
    <w:rsid w:val="007C53CE"/>
    <w:rsid w:val="007D141A"/>
    <w:rsid w:val="007D4396"/>
    <w:rsid w:val="007D47D7"/>
    <w:rsid w:val="007D4CF0"/>
    <w:rsid w:val="007D57C7"/>
    <w:rsid w:val="007D5D87"/>
    <w:rsid w:val="007D681E"/>
    <w:rsid w:val="007D77D1"/>
    <w:rsid w:val="007E0526"/>
    <w:rsid w:val="007E30DF"/>
    <w:rsid w:val="007E5B9D"/>
    <w:rsid w:val="007E6731"/>
    <w:rsid w:val="007E6FE3"/>
    <w:rsid w:val="007E7195"/>
    <w:rsid w:val="007E7AAF"/>
    <w:rsid w:val="007F09F5"/>
    <w:rsid w:val="007F0E0C"/>
    <w:rsid w:val="007F1E46"/>
    <w:rsid w:val="007F2D0D"/>
    <w:rsid w:val="007F3636"/>
    <w:rsid w:val="007F6783"/>
    <w:rsid w:val="007F698A"/>
    <w:rsid w:val="007F6BF0"/>
    <w:rsid w:val="007F7316"/>
    <w:rsid w:val="007F78D2"/>
    <w:rsid w:val="00800A75"/>
    <w:rsid w:val="008013CC"/>
    <w:rsid w:val="00803356"/>
    <w:rsid w:val="00804489"/>
    <w:rsid w:val="00806118"/>
    <w:rsid w:val="008113BF"/>
    <w:rsid w:val="00814CEC"/>
    <w:rsid w:val="008166F8"/>
    <w:rsid w:val="0081794D"/>
    <w:rsid w:val="00817C88"/>
    <w:rsid w:val="00821706"/>
    <w:rsid w:val="008232F6"/>
    <w:rsid w:val="00824B88"/>
    <w:rsid w:val="00824BD0"/>
    <w:rsid w:val="008253F1"/>
    <w:rsid w:val="00827D06"/>
    <w:rsid w:val="00827F57"/>
    <w:rsid w:val="008314DC"/>
    <w:rsid w:val="00833189"/>
    <w:rsid w:val="00837840"/>
    <w:rsid w:val="00840949"/>
    <w:rsid w:val="00844655"/>
    <w:rsid w:val="008467BB"/>
    <w:rsid w:val="008470BC"/>
    <w:rsid w:val="00847CE3"/>
    <w:rsid w:val="00851D94"/>
    <w:rsid w:val="00851E70"/>
    <w:rsid w:val="00853BE2"/>
    <w:rsid w:val="008543EB"/>
    <w:rsid w:val="00854C66"/>
    <w:rsid w:val="008559BD"/>
    <w:rsid w:val="00856B41"/>
    <w:rsid w:val="00856BE9"/>
    <w:rsid w:val="008571EC"/>
    <w:rsid w:val="008579C1"/>
    <w:rsid w:val="008640A2"/>
    <w:rsid w:val="00867C12"/>
    <w:rsid w:val="00867FC1"/>
    <w:rsid w:val="0087096C"/>
    <w:rsid w:val="00872B69"/>
    <w:rsid w:val="00875499"/>
    <w:rsid w:val="00875FCB"/>
    <w:rsid w:val="00876509"/>
    <w:rsid w:val="00882613"/>
    <w:rsid w:val="00883AA8"/>
    <w:rsid w:val="00883B30"/>
    <w:rsid w:val="00884E66"/>
    <w:rsid w:val="00885186"/>
    <w:rsid w:val="00887068"/>
    <w:rsid w:val="00891799"/>
    <w:rsid w:val="00893267"/>
    <w:rsid w:val="0089656B"/>
    <w:rsid w:val="008974F1"/>
    <w:rsid w:val="008977D0"/>
    <w:rsid w:val="008978FE"/>
    <w:rsid w:val="008A03ED"/>
    <w:rsid w:val="008A0683"/>
    <w:rsid w:val="008A5026"/>
    <w:rsid w:val="008A7F0F"/>
    <w:rsid w:val="008B1EC6"/>
    <w:rsid w:val="008B23F5"/>
    <w:rsid w:val="008B2912"/>
    <w:rsid w:val="008B3666"/>
    <w:rsid w:val="008B3BB9"/>
    <w:rsid w:val="008B4747"/>
    <w:rsid w:val="008B4D16"/>
    <w:rsid w:val="008B50EC"/>
    <w:rsid w:val="008B54A8"/>
    <w:rsid w:val="008B6566"/>
    <w:rsid w:val="008B736C"/>
    <w:rsid w:val="008C05EC"/>
    <w:rsid w:val="008C0CC6"/>
    <w:rsid w:val="008C17EC"/>
    <w:rsid w:val="008C2D51"/>
    <w:rsid w:val="008C3B61"/>
    <w:rsid w:val="008C3C8A"/>
    <w:rsid w:val="008C40E0"/>
    <w:rsid w:val="008C576F"/>
    <w:rsid w:val="008C7A4E"/>
    <w:rsid w:val="008D0828"/>
    <w:rsid w:val="008D1E36"/>
    <w:rsid w:val="008D213A"/>
    <w:rsid w:val="008D2801"/>
    <w:rsid w:val="008E0AEC"/>
    <w:rsid w:val="008E185D"/>
    <w:rsid w:val="008E2765"/>
    <w:rsid w:val="008E6785"/>
    <w:rsid w:val="008E7920"/>
    <w:rsid w:val="008F39EC"/>
    <w:rsid w:val="008F46CD"/>
    <w:rsid w:val="008F4A1C"/>
    <w:rsid w:val="008F4AEE"/>
    <w:rsid w:val="008F6C15"/>
    <w:rsid w:val="008F7323"/>
    <w:rsid w:val="008F738D"/>
    <w:rsid w:val="008F781A"/>
    <w:rsid w:val="00901339"/>
    <w:rsid w:val="00901B53"/>
    <w:rsid w:val="009021E8"/>
    <w:rsid w:val="00904039"/>
    <w:rsid w:val="00904F09"/>
    <w:rsid w:val="009058A7"/>
    <w:rsid w:val="00907832"/>
    <w:rsid w:val="00907985"/>
    <w:rsid w:val="0091240C"/>
    <w:rsid w:val="0091257E"/>
    <w:rsid w:val="00915718"/>
    <w:rsid w:val="00915CD1"/>
    <w:rsid w:val="00917297"/>
    <w:rsid w:val="00920396"/>
    <w:rsid w:val="00920933"/>
    <w:rsid w:val="00931377"/>
    <w:rsid w:val="009323B7"/>
    <w:rsid w:val="00932F28"/>
    <w:rsid w:val="00934C76"/>
    <w:rsid w:val="00940957"/>
    <w:rsid w:val="009416A2"/>
    <w:rsid w:val="009424F7"/>
    <w:rsid w:val="009453C5"/>
    <w:rsid w:val="00950172"/>
    <w:rsid w:val="00950308"/>
    <w:rsid w:val="009504B3"/>
    <w:rsid w:val="00950AAF"/>
    <w:rsid w:val="00952BAE"/>
    <w:rsid w:val="009537EF"/>
    <w:rsid w:val="00953A62"/>
    <w:rsid w:val="0095560C"/>
    <w:rsid w:val="00955671"/>
    <w:rsid w:val="00955720"/>
    <w:rsid w:val="00957C13"/>
    <w:rsid w:val="00962A43"/>
    <w:rsid w:val="009646E8"/>
    <w:rsid w:val="00965190"/>
    <w:rsid w:val="009654C2"/>
    <w:rsid w:val="00967EB6"/>
    <w:rsid w:val="009703C3"/>
    <w:rsid w:val="00971516"/>
    <w:rsid w:val="009753A4"/>
    <w:rsid w:val="00976BA1"/>
    <w:rsid w:val="0097727C"/>
    <w:rsid w:val="00977CDA"/>
    <w:rsid w:val="0098094F"/>
    <w:rsid w:val="00980D88"/>
    <w:rsid w:val="009823E2"/>
    <w:rsid w:val="00982D27"/>
    <w:rsid w:val="009839C6"/>
    <w:rsid w:val="009841F1"/>
    <w:rsid w:val="009852AC"/>
    <w:rsid w:val="00986B46"/>
    <w:rsid w:val="009872A8"/>
    <w:rsid w:val="00992677"/>
    <w:rsid w:val="00992B28"/>
    <w:rsid w:val="00996051"/>
    <w:rsid w:val="009962F2"/>
    <w:rsid w:val="00997B7E"/>
    <w:rsid w:val="009A0143"/>
    <w:rsid w:val="009A0789"/>
    <w:rsid w:val="009A0B2A"/>
    <w:rsid w:val="009A1B9E"/>
    <w:rsid w:val="009A2A22"/>
    <w:rsid w:val="009A363A"/>
    <w:rsid w:val="009A4C10"/>
    <w:rsid w:val="009A4F6A"/>
    <w:rsid w:val="009A58CD"/>
    <w:rsid w:val="009B2D7D"/>
    <w:rsid w:val="009B45C1"/>
    <w:rsid w:val="009B5671"/>
    <w:rsid w:val="009B629A"/>
    <w:rsid w:val="009B668E"/>
    <w:rsid w:val="009B78DE"/>
    <w:rsid w:val="009B7D6B"/>
    <w:rsid w:val="009C13E5"/>
    <w:rsid w:val="009C2649"/>
    <w:rsid w:val="009C4CDE"/>
    <w:rsid w:val="009C4F34"/>
    <w:rsid w:val="009C5AE1"/>
    <w:rsid w:val="009C5B51"/>
    <w:rsid w:val="009C6802"/>
    <w:rsid w:val="009C7387"/>
    <w:rsid w:val="009D0367"/>
    <w:rsid w:val="009D21CA"/>
    <w:rsid w:val="009D340D"/>
    <w:rsid w:val="009D6AB4"/>
    <w:rsid w:val="009D6EA2"/>
    <w:rsid w:val="009E151A"/>
    <w:rsid w:val="009E1A33"/>
    <w:rsid w:val="009E327A"/>
    <w:rsid w:val="009F05CC"/>
    <w:rsid w:val="009F0FD0"/>
    <w:rsid w:val="009F1324"/>
    <w:rsid w:val="009F2386"/>
    <w:rsid w:val="009F278C"/>
    <w:rsid w:val="00A0105B"/>
    <w:rsid w:val="00A03309"/>
    <w:rsid w:val="00A03F51"/>
    <w:rsid w:val="00A072AC"/>
    <w:rsid w:val="00A072F2"/>
    <w:rsid w:val="00A07E08"/>
    <w:rsid w:val="00A10CE4"/>
    <w:rsid w:val="00A10EE9"/>
    <w:rsid w:val="00A11D16"/>
    <w:rsid w:val="00A12E98"/>
    <w:rsid w:val="00A13E16"/>
    <w:rsid w:val="00A1514C"/>
    <w:rsid w:val="00A160C3"/>
    <w:rsid w:val="00A175DF"/>
    <w:rsid w:val="00A1788F"/>
    <w:rsid w:val="00A21A1B"/>
    <w:rsid w:val="00A21FFA"/>
    <w:rsid w:val="00A2224B"/>
    <w:rsid w:val="00A24E93"/>
    <w:rsid w:val="00A2702A"/>
    <w:rsid w:val="00A31DAB"/>
    <w:rsid w:val="00A322CF"/>
    <w:rsid w:val="00A32DFF"/>
    <w:rsid w:val="00A3376E"/>
    <w:rsid w:val="00A345F4"/>
    <w:rsid w:val="00A35237"/>
    <w:rsid w:val="00A376C9"/>
    <w:rsid w:val="00A3784C"/>
    <w:rsid w:val="00A37A87"/>
    <w:rsid w:val="00A424DC"/>
    <w:rsid w:val="00A42D47"/>
    <w:rsid w:val="00A43866"/>
    <w:rsid w:val="00A43BBE"/>
    <w:rsid w:val="00A441A5"/>
    <w:rsid w:val="00A442BE"/>
    <w:rsid w:val="00A46199"/>
    <w:rsid w:val="00A470F3"/>
    <w:rsid w:val="00A47337"/>
    <w:rsid w:val="00A47BBB"/>
    <w:rsid w:val="00A50C91"/>
    <w:rsid w:val="00A5104E"/>
    <w:rsid w:val="00A51ECE"/>
    <w:rsid w:val="00A5225F"/>
    <w:rsid w:val="00A532B9"/>
    <w:rsid w:val="00A53304"/>
    <w:rsid w:val="00A5686C"/>
    <w:rsid w:val="00A57465"/>
    <w:rsid w:val="00A576FF"/>
    <w:rsid w:val="00A57AB2"/>
    <w:rsid w:val="00A60468"/>
    <w:rsid w:val="00A61E08"/>
    <w:rsid w:val="00A6683B"/>
    <w:rsid w:val="00A66E80"/>
    <w:rsid w:val="00A67334"/>
    <w:rsid w:val="00A6762E"/>
    <w:rsid w:val="00A752AB"/>
    <w:rsid w:val="00A75EAB"/>
    <w:rsid w:val="00A77BB1"/>
    <w:rsid w:val="00A77C42"/>
    <w:rsid w:val="00A84A19"/>
    <w:rsid w:val="00A873FC"/>
    <w:rsid w:val="00A90BE0"/>
    <w:rsid w:val="00A9172D"/>
    <w:rsid w:val="00A9209B"/>
    <w:rsid w:val="00A95349"/>
    <w:rsid w:val="00A9623C"/>
    <w:rsid w:val="00AA06F2"/>
    <w:rsid w:val="00AA08B1"/>
    <w:rsid w:val="00AA0962"/>
    <w:rsid w:val="00AA0AE7"/>
    <w:rsid w:val="00AA32B9"/>
    <w:rsid w:val="00AA4B3C"/>
    <w:rsid w:val="00AA4C1C"/>
    <w:rsid w:val="00AA4D03"/>
    <w:rsid w:val="00AA4D9A"/>
    <w:rsid w:val="00AA6962"/>
    <w:rsid w:val="00AB4048"/>
    <w:rsid w:val="00AB7241"/>
    <w:rsid w:val="00AC0FD2"/>
    <w:rsid w:val="00AC4266"/>
    <w:rsid w:val="00AC5135"/>
    <w:rsid w:val="00AC6C7B"/>
    <w:rsid w:val="00AD00B4"/>
    <w:rsid w:val="00AD113B"/>
    <w:rsid w:val="00AD2612"/>
    <w:rsid w:val="00AD3526"/>
    <w:rsid w:val="00AD3D2D"/>
    <w:rsid w:val="00AD41B3"/>
    <w:rsid w:val="00AD5EC3"/>
    <w:rsid w:val="00AE1507"/>
    <w:rsid w:val="00AE22F5"/>
    <w:rsid w:val="00AE283E"/>
    <w:rsid w:val="00AE2977"/>
    <w:rsid w:val="00AE52EB"/>
    <w:rsid w:val="00AE5D31"/>
    <w:rsid w:val="00AE794A"/>
    <w:rsid w:val="00AF228F"/>
    <w:rsid w:val="00AF291C"/>
    <w:rsid w:val="00AF29A5"/>
    <w:rsid w:val="00AF43B4"/>
    <w:rsid w:val="00AF55CB"/>
    <w:rsid w:val="00AF5604"/>
    <w:rsid w:val="00AF7EE6"/>
    <w:rsid w:val="00B00C22"/>
    <w:rsid w:val="00B01C19"/>
    <w:rsid w:val="00B0212C"/>
    <w:rsid w:val="00B02C0D"/>
    <w:rsid w:val="00B053B3"/>
    <w:rsid w:val="00B0757B"/>
    <w:rsid w:val="00B10C91"/>
    <w:rsid w:val="00B11431"/>
    <w:rsid w:val="00B158CB"/>
    <w:rsid w:val="00B169BF"/>
    <w:rsid w:val="00B22D73"/>
    <w:rsid w:val="00B23362"/>
    <w:rsid w:val="00B23FDD"/>
    <w:rsid w:val="00B2516B"/>
    <w:rsid w:val="00B2664F"/>
    <w:rsid w:val="00B31B73"/>
    <w:rsid w:val="00B3229A"/>
    <w:rsid w:val="00B337B0"/>
    <w:rsid w:val="00B33AF7"/>
    <w:rsid w:val="00B344D2"/>
    <w:rsid w:val="00B40B54"/>
    <w:rsid w:val="00B41171"/>
    <w:rsid w:val="00B41758"/>
    <w:rsid w:val="00B4257C"/>
    <w:rsid w:val="00B43202"/>
    <w:rsid w:val="00B4376A"/>
    <w:rsid w:val="00B4405D"/>
    <w:rsid w:val="00B457D5"/>
    <w:rsid w:val="00B474D4"/>
    <w:rsid w:val="00B4798D"/>
    <w:rsid w:val="00B50E25"/>
    <w:rsid w:val="00B50F51"/>
    <w:rsid w:val="00B52392"/>
    <w:rsid w:val="00B5707A"/>
    <w:rsid w:val="00B57B9E"/>
    <w:rsid w:val="00B604D6"/>
    <w:rsid w:val="00B60F1E"/>
    <w:rsid w:val="00B61086"/>
    <w:rsid w:val="00B61BA4"/>
    <w:rsid w:val="00B61DB6"/>
    <w:rsid w:val="00B624E7"/>
    <w:rsid w:val="00B64B8B"/>
    <w:rsid w:val="00B656B7"/>
    <w:rsid w:val="00B65DF0"/>
    <w:rsid w:val="00B66C95"/>
    <w:rsid w:val="00B671C2"/>
    <w:rsid w:val="00B67830"/>
    <w:rsid w:val="00B70EF2"/>
    <w:rsid w:val="00B71986"/>
    <w:rsid w:val="00B72A51"/>
    <w:rsid w:val="00B77357"/>
    <w:rsid w:val="00B77428"/>
    <w:rsid w:val="00B77AB1"/>
    <w:rsid w:val="00B810AC"/>
    <w:rsid w:val="00B84592"/>
    <w:rsid w:val="00B86B58"/>
    <w:rsid w:val="00B876C0"/>
    <w:rsid w:val="00B87D6F"/>
    <w:rsid w:val="00B92FC7"/>
    <w:rsid w:val="00B93430"/>
    <w:rsid w:val="00B95083"/>
    <w:rsid w:val="00B95C75"/>
    <w:rsid w:val="00B97FA5"/>
    <w:rsid w:val="00BA1BAD"/>
    <w:rsid w:val="00BA62D4"/>
    <w:rsid w:val="00BA7376"/>
    <w:rsid w:val="00BB13FB"/>
    <w:rsid w:val="00BB28E6"/>
    <w:rsid w:val="00BB3F38"/>
    <w:rsid w:val="00BB6C07"/>
    <w:rsid w:val="00BB7DDA"/>
    <w:rsid w:val="00BC37F9"/>
    <w:rsid w:val="00BC39E6"/>
    <w:rsid w:val="00BC4702"/>
    <w:rsid w:val="00BC62DA"/>
    <w:rsid w:val="00BC65F5"/>
    <w:rsid w:val="00BD012D"/>
    <w:rsid w:val="00BD1DC0"/>
    <w:rsid w:val="00BD28AF"/>
    <w:rsid w:val="00BD38FE"/>
    <w:rsid w:val="00BD46D1"/>
    <w:rsid w:val="00BE0282"/>
    <w:rsid w:val="00BE041E"/>
    <w:rsid w:val="00BE0E92"/>
    <w:rsid w:val="00BE1BB0"/>
    <w:rsid w:val="00BE1D77"/>
    <w:rsid w:val="00BE6E35"/>
    <w:rsid w:val="00BF01AD"/>
    <w:rsid w:val="00BF1716"/>
    <w:rsid w:val="00BF277F"/>
    <w:rsid w:val="00BF2FB4"/>
    <w:rsid w:val="00BF3DB0"/>
    <w:rsid w:val="00BF668F"/>
    <w:rsid w:val="00BF70A2"/>
    <w:rsid w:val="00BF7A13"/>
    <w:rsid w:val="00C0596D"/>
    <w:rsid w:val="00C06C3E"/>
    <w:rsid w:val="00C07457"/>
    <w:rsid w:val="00C103B2"/>
    <w:rsid w:val="00C13D40"/>
    <w:rsid w:val="00C14C39"/>
    <w:rsid w:val="00C15C3E"/>
    <w:rsid w:val="00C15F11"/>
    <w:rsid w:val="00C16A66"/>
    <w:rsid w:val="00C16B7A"/>
    <w:rsid w:val="00C203A1"/>
    <w:rsid w:val="00C20AF2"/>
    <w:rsid w:val="00C21138"/>
    <w:rsid w:val="00C2121B"/>
    <w:rsid w:val="00C24D68"/>
    <w:rsid w:val="00C26630"/>
    <w:rsid w:val="00C30C0E"/>
    <w:rsid w:val="00C30EC9"/>
    <w:rsid w:val="00C33875"/>
    <w:rsid w:val="00C34096"/>
    <w:rsid w:val="00C344B7"/>
    <w:rsid w:val="00C376D1"/>
    <w:rsid w:val="00C37F34"/>
    <w:rsid w:val="00C41A91"/>
    <w:rsid w:val="00C46160"/>
    <w:rsid w:val="00C46B9D"/>
    <w:rsid w:val="00C47A3F"/>
    <w:rsid w:val="00C51B41"/>
    <w:rsid w:val="00C52707"/>
    <w:rsid w:val="00C53997"/>
    <w:rsid w:val="00C53DFE"/>
    <w:rsid w:val="00C56588"/>
    <w:rsid w:val="00C56AB5"/>
    <w:rsid w:val="00C576B3"/>
    <w:rsid w:val="00C57800"/>
    <w:rsid w:val="00C617AF"/>
    <w:rsid w:val="00C64265"/>
    <w:rsid w:val="00C64EB0"/>
    <w:rsid w:val="00C66BC6"/>
    <w:rsid w:val="00C67EFE"/>
    <w:rsid w:val="00C70AB0"/>
    <w:rsid w:val="00C7246B"/>
    <w:rsid w:val="00C75864"/>
    <w:rsid w:val="00C76554"/>
    <w:rsid w:val="00C76C7F"/>
    <w:rsid w:val="00C7700A"/>
    <w:rsid w:val="00C77332"/>
    <w:rsid w:val="00C77522"/>
    <w:rsid w:val="00C82608"/>
    <w:rsid w:val="00C86318"/>
    <w:rsid w:val="00C91353"/>
    <w:rsid w:val="00C92786"/>
    <w:rsid w:val="00CA0961"/>
    <w:rsid w:val="00CA12B9"/>
    <w:rsid w:val="00CA1949"/>
    <w:rsid w:val="00CA4832"/>
    <w:rsid w:val="00CA5612"/>
    <w:rsid w:val="00CA65DB"/>
    <w:rsid w:val="00CA7FB6"/>
    <w:rsid w:val="00CB17C8"/>
    <w:rsid w:val="00CB2FE8"/>
    <w:rsid w:val="00CB40EF"/>
    <w:rsid w:val="00CB5758"/>
    <w:rsid w:val="00CB5AAF"/>
    <w:rsid w:val="00CB68BE"/>
    <w:rsid w:val="00CC0B14"/>
    <w:rsid w:val="00CC0FAC"/>
    <w:rsid w:val="00CC31E8"/>
    <w:rsid w:val="00CC3E0B"/>
    <w:rsid w:val="00CC4869"/>
    <w:rsid w:val="00CC59E2"/>
    <w:rsid w:val="00CC720F"/>
    <w:rsid w:val="00CD1039"/>
    <w:rsid w:val="00CD10BE"/>
    <w:rsid w:val="00CD1481"/>
    <w:rsid w:val="00CD22F3"/>
    <w:rsid w:val="00CD2851"/>
    <w:rsid w:val="00CD311F"/>
    <w:rsid w:val="00CD3691"/>
    <w:rsid w:val="00CD388F"/>
    <w:rsid w:val="00CD4294"/>
    <w:rsid w:val="00CD59B9"/>
    <w:rsid w:val="00CE394E"/>
    <w:rsid w:val="00CE428A"/>
    <w:rsid w:val="00CE5C5F"/>
    <w:rsid w:val="00CF2133"/>
    <w:rsid w:val="00CF3095"/>
    <w:rsid w:val="00CF3832"/>
    <w:rsid w:val="00CF38A4"/>
    <w:rsid w:val="00CF3F40"/>
    <w:rsid w:val="00CF7F34"/>
    <w:rsid w:val="00D042A1"/>
    <w:rsid w:val="00D052A5"/>
    <w:rsid w:val="00D0538A"/>
    <w:rsid w:val="00D05C87"/>
    <w:rsid w:val="00D05F04"/>
    <w:rsid w:val="00D116F4"/>
    <w:rsid w:val="00D11A75"/>
    <w:rsid w:val="00D13E83"/>
    <w:rsid w:val="00D15973"/>
    <w:rsid w:val="00D160BC"/>
    <w:rsid w:val="00D21D41"/>
    <w:rsid w:val="00D22F72"/>
    <w:rsid w:val="00D24455"/>
    <w:rsid w:val="00D24ED3"/>
    <w:rsid w:val="00D254E7"/>
    <w:rsid w:val="00D26B0D"/>
    <w:rsid w:val="00D279C5"/>
    <w:rsid w:val="00D31874"/>
    <w:rsid w:val="00D31C05"/>
    <w:rsid w:val="00D3323A"/>
    <w:rsid w:val="00D33918"/>
    <w:rsid w:val="00D356B4"/>
    <w:rsid w:val="00D409FA"/>
    <w:rsid w:val="00D4348A"/>
    <w:rsid w:val="00D50E09"/>
    <w:rsid w:val="00D50F38"/>
    <w:rsid w:val="00D535D5"/>
    <w:rsid w:val="00D549FA"/>
    <w:rsid w:val="00D54E28"/>
    <w:rsid w:val="00D56379"/>
    <w:rsid w:val="00D569EE"/>
    <w:rsid w:val="00D56BC3"/>
    <w:rsid w:val="00D6071B"/>
    <w:rsid w:val="00D62A65"/>
    <w:rsid w:val="00D6688D"/>
    <w:rsid w:val="00D67754"/>
    <w:rsid w:val="00D704E5"/>
    <w:rsid w:val="00D705F5"/>
    <w:rsid w:val="00D72F59"/>
    <w:rsid w:val="00D73D29"/>
    <w:rsid w:val="00D753AC"/>
    <w:rsid w:val="00D755E1"/>
    <w:rsid w:val="00D77630"/>
    <w:rsid w:val="00D80BDC"/>
    <w:rsid w:val="00D81444"/>
    <w:rsid w:val="00D83C76"/>
    <w:rsid w:val="00D84A93"/>
    <w:rsid w:val="00D87E6F"/>
    <w:rsid w:val="00D92AE8"/>
    <w:rsid w:val="00D9398A"/>
    <w:rsid w:val="00D93BEC"/>
    <w:rsid w:val="00D94C37"/>
    <w:rsid w:val="00D94D8E"/>
    <w:rsid w:val="00D956DB"/>
    <w:rsid w:val="00D9586A"/>
    <w:rsid w:val="00DA2BC5"/>
    <w:rsid w:val="00DA332A"/>
    <w:rsid w:val="00DA52B0"/>
    <w:rsid w:val="00DA7424"/>
    <w:rsid w:val="00DA754F"/>
    <w:rsid w:val="00DA7B04"/>
    <w:rsid w:val="00DB119E"/>
    <w:rsid w:val="00DB5717"/>
    <w:rsid w:val="00DB593F"/>
    <w:rsid w:val="00DB7B74"/>
    <w:rsid w:val="00DC1347"/>
    <w:rsid w:val="00DC3789"/>
    <w:rsid w:val="00DC3B3A"/>
    <w:rsid w:val="00DC5CCA"/>
    <w:rsid w:val="00DC5D82"/>
    <w:rsid w:val="00DC62CA"/>
    <w:rsid w:val="00DC646E"/>
    <w:rsid w:val="00DC716C"/>
    <w:rsid w:val="00DC7867"/>
    <w:rsid w:val="00DD0201"/>
    <w:rsid w:val="00DD085E"/>
    <w:rsid w:val="00DD0943"/>
    <w:rsid w:val="00DD18A7"/>
    <w:rsid w:val="00DD268C"/>
    <w:rsid w:val="00DD2B40"/>
    <w:rsid w:val="00DD464A"/>
    <w:rsid w:val="00DD53EB"/>
    <w:rsid w:val="00DD54AD"/>
    <w:rsid w:val="00DD5DA4"/>
    <w:rsid w:val="00DD6441"/>
    <w:rsid w:val="00DD6CD8"/>
    <w:rsid w:val="00DD7376"/>
    <w:rsid w:val="00DE0AC7"/>
    <w:rsid w:val="00DE34A1"/>
    <w:rsid w:val="00DE634C"/>
    <w:rsid w:val="00DF0D3A"/>
    <w:rsid w:val="00DF1529"/>
    <w:rsid w:val="00DF1FC8"/>
    <w:rsid w:val="00DF2236"/>
    <w:rsid w:val="00DF31FD"/>
    <w:rsid w:val="00DF5184"/>
    <w:rsid w:val="00E02AD8"/>
    <w:rsid w:val="00E03438"/>
    <w:rsid w:val="00E03F88"/>
    <w:rsid w:val="00E04B0B"/>
    <w:rsid w:val="00E11089"/>
    <w:rsid w:val="00E1186A"/>
    <w:rsid w:val="00E12560"/>
    <w:rsid w:val="00E1348D"/>
    <w:rsid w:val="00E13520"/>
    <w:rsid w:val="00E14CCA"/>
    <w:rsid w:val="00E14D6F"/>
    <w:rsid w:val="00E156EE"/>
    <w:rsid w:val="00E16157"/>
    <w:rsid w:val="00E1788C"/>
    <w:rsid w:val="00E216D3"/>
    <w:rsid w:val="00E22DC9"/>
    <w:rsid w:val="00E23CC3"/>
    <w:rsid w:val="00E2444D"/>
    <w:rsid w:val="00E2577D"/>
    <w:rsid w:val="00E25D80"/>
    <w:rsid w:val="00E26A4F"/>
    <w:rsid w:val="00E2719C"/>
    <w:rsid w:val="00E31B0F"/>
    <w:rsid w:val="00E3251F"/>
    <w:rsid w:val="00E32FDD"/>
    <w:rsid w:val="00E337EB"/>
    <w:rsid w:val="00E3381F"/>
    <w:rsid w:val="00E339FE"/>
    <w:rsid w:val="00E37295"/>
    <w:rsid w:val="00E373F7"/>
    <w:rsid w:val="00E406EC"/>
    <w:rsid w:val="00E410E0"/>
    <w:rsid w:val="00E417D3"/>
    <w:rsid w:val="00E42930"/>
    <w:rsid w:val="00E4561D"/>
    <w:rsid w:val="00E55A6C"/>
    <w:rsid w:val="00E55D82"/>
    <w:rsid w:val="00E561FB"/>
    <w:rsid w:val="00E60BFB"/>
    <w:rsid w:val="00E612DE"/>
    <w:rsid w:val="00E62D33"/>
    <w:rsid w:val="00E660D1"/>
    <w:rsid w:val="00E71C9F"/>
    <w:rsid w:val="00E8026C"/>
    <w:rsid w:val="00E817D1"/>
    <w:rsid w:val="00E81C41"/>
    <w:rsid w:val="00E83E2D"/>
    <w:rsid w:val="00E840BF"/>
    <w:rsid w:val="00E858FB"/>
    <w:rsid w:val="00E94C79"/>
    <w:rsid w:val="00EA1DF3"/>
    <w:rsid w:val="00EA2CE5"/>
    <w:rsid w:val="00EA411C"/>
    <w:rsid w:val="00EA63CA"/>
    <w:rsid w:val="00EA7380"/>
    <w:rsid w:val="00EB03D3"/>
    <w:rsid w:val="00EB0AA8"/>
    <w:rsid w:val="00EB0B49"/>
    <w:rsid w:val="00EB4764"/>
    <w:rsid w:val="00EC000E"/>
    <w:rsid w:val="00EC263A"/>
    <w:rsid w:val="00EC36B6"/>
    <w:rsid w:val="00EC4D8A"/>
    <w:rsid w:val="00EC5062"/>
    <w:rsid w:val="00EC6677"/>
    <w:rsid w:val="00ED2C08"/>
    <w:rsid w:val="00EE1314"/>
    <w:rsid w:val="00EE3936"/>
    <w:rsid w:val="00EE4D2A"/>
    <w:rsid w:val="00EE5D3D"/>
    <w:rsid w:val="00EE6678"/>
    <w:rsid w:val="00EF0129"/>
    <w:rsid w:val="00EF2CF5"/>
    <w:rsid w:val="00EF4848"/>
    <w:rsid w:val="00EF4A34"/>
    <w:rsid w:val="00EF60DA"/>
    <w:rsid w:val="00EF75A9"/>
    <w:rsid w:val="00F00FB8"/>
    <w:rsid w:val="00F01F0C"/>
    <w:rsid w:val="00F02FD9"/>
    <w:rsid w:val="00F042CC"/>
    <w:rsid w:val="00F05264"/>
    <w:rsid w:val="00F07DF4"/>
    <w:rsid w:val="00F1058A"/>
    <w:rsid w:val="00F1238A"/>
    <w:rsid w:val="00F13E02"/>
    <w:rsid w:val="00F13E50"/>
    <w:rsid w:val="00F14532"/>
    <w:rsid w:val="00F15010"/>
    <w:rsid w:val="00F1518A"/>
    <w:rsid w:val="00F20A2D"/>
    <w:rsid w:val="00F21DF7"/>
    <w:rsid w:val="00F2327E"/>
    <w:rsid w:val="00F249B7"/>
    <w:rsid w:val="00F30B1F"/>
    <w:rsid w:val="00F33A94"/>
    <w:rsid w:val="00F33ED2"/>
    <w:rsid w:val="00F358B7"/>
    <w:rsid w:val="00F36A1C"/>
    <w:rsid w:val="00F36D1F"/>
    <w:rsid w:val="00F37ED6"/>
    <w:rsid w:val="00F43022"/>
    <w:rsid w:val="00F4683D"/>
    <w:rsid w:val="00F46DFA"/>
    <w:rsid w:val="00F47D0E"/>
    <w:rsid w:val="00F50544"/>
    <w:rsid w:val="00F5116C"/>
    <w:rsid w:val="00F51299"/>
    <w:rsid w:val="00F5193D"/>
    <w:rsid w:val="00F51C1E"/>
    <w:rsid w:val="00F52E63"/>
    <w:rsid w:val="00F549F3"/>
    <w:rsid w:val="00F5523C"/>
    <w:rsid w:val="00F554C4"/>
    <w:rsid w:val="00F5672C"/>
    <w:rsid w:val="00F61661"/>
    <w:rsid w:val="00F62203"/>
    <w:rsid w:val="00F62E62"/>
    <w:rsid w:val="00F64669"/>
    <w:rsid w:val="00F64A54"/>
    <w:rsid w:val="00F65821"/>
    <w:rsid w:val="00F7084A"/>
    <w:rsid w:val="00F7228B"/>
    <w:rsid w:val="00F7360B"/>
    <w:rsid w:val="00F75C60"/>
    <w:rsid w:val="00F7791F"/>
    <w:rsid w:val="00F77C4D"/>
    <w:rsid w:val="00F81A36"/>
    <w:rsid w:val="00F83AE8"/>
    <w:rsid w:val="00F85E82"/>
    <w:rsid w:val="00F8621C"/>
    <w:rsid w:val="00F87FE5"/>
    <w:rsid w:val="00F92605"/>
    <w:rsid w:val="00F94A05"/>
    <w:rsid w:val="00F95F7B"/>
    <w:rsid w:val="00F973E1"/>
    <w:rsid w:val="00FA11F9"/>
    <w:rsid w:val="00FA143C"/>
    <w:rsid w:val="00FA5AA0"/>
    <w:rsid w:val="00FA748C"/>
    <w:rsid w:val="00FA7FEE"/>
    <w:rsid w:val="00FB0E40"/>
    <w:rsid w:val="00FB2438"/>
    <w:rsid w:val="00FB3E2A"/>
    <w:rsid w:val="00FB49D8"/>
    <w:rsid w:val="00FB4D23"/>
    <w:rsid w:val="00FB5A84"/>
    <w:rsid w:val="00FB65BF"/>
    <w:rsid w:val="00FC2320"/>
    <w:rsid w:val="00FC60BA"/>
    <w:rsid w:val="00FD13EA"/>
    <w:rsid w:val="00FD192F"/>
    <w:rsid w:val="00FD26E5"/>
    <w:rsid w:val="00FD2AC9"/>
    <w:rsid w:val="00FD2E59"/>
    <w:rsid w:val="00FD3703"/>
    <w:rsid w:val="00FD376A"/>
    <w:rsid w:val="00FD7645"/>
    <w:rsid w:val="00FE0475"/>
    <w:rsid w:val="00FE4497"/>
    <w:rsid w:val="00FE7918"/>
    <w:rsid w:val="00FF2B82"/>
    <w:rsid w:val="00FF2E45"/>
    <w:rsid w:val="00FF4584"/>
    <w:rsid w:val="4C7BFD5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4A9C"/>
  <w15:docId w15:val="{BD5E52A1-B3E1-4929-8B99-0BD7E7A0F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324E"/>
    <w:pPr>
      <w:jc w:val="both"/>
    </w:pPr>
    <w:rPr>
      <w:rFonts w:ascii="Arial" w:hAnsi="Arial"/>
      <w:color w:val="000000"/>
    </w:rPr>
  </w:style>
  <w:style w:type="paragraph" w:styleId="Titre1">
    <w:name w:val="heading 1"/>
    <w:aliases w:val="Titre 1 Article 1,Article 1,Appendix 1,H1,Class Heading,Chapter,CHAPITRE, ARTICLE  ,Titre 1 ,Partie,Partie1,Partie2,Partie3,Partie4,Partie5,Partie6,Partie7,Partie8,Partie9,Partie10,Partie11,Partie21,Partie31,Partie41,Partie51,Partie61,Partie71"/>
    <w:basedOn w:val="Normal"/>
    <w:next w:val="Normal"/>
    <w:autoRedefine/>
    <w:qFormat/>
    <w:pPr>
      <w:keepNext/>
      <w:numPr>
        <w:numId w:val="1"/>
      </w:numPr>
      <w:jc w:val="center"/>
      <w:outlineLvl w:val="0"/>
    </w:pPr>
    <w:rPr>
      <w:b/>
      <w:sz w:val="48"/>
    </w:rPr>
  </w:style>
  <w:style w:type="paragraph" w:styleId="Titre2">
    <w:name w:val="heading 2"/>
    <w:basedOn w:val="Titre1"/>
    <w:next w:val="Normal"/>
    <w:autoRedefine/>
    <w:qFormat/>
    <w:rsid w:val="00316DF6"/>
    <w:pPr>
      <w:numPr>
        <w:ilvl w:val="1"/>
      </w:numPr>
      <w:shd w:val="clear" w:color="auto" w:fill="B3B3B3"/>
      <w:spacing w:after="200"/>
      <w:ind w:hanging="2561"/>
      <w:jc w:val="both"/>
      <w:outlineLvl w:val="1"/>
    </w:pPr>
    <w:rPr>
      <w:rFonts w:ascii="Open Sans" w:hAnsi="Open Sans" w:cs="Open Sans"/>
      <w:caps/>
      <w:sz w:val="28"/>
      <w:szCs w:val="28"/>
    </w:rPr>
  </w:style>
  <w:style w:type="paragraph" w:styleId="Titre3">
    <w:name w:val="heading 3"/>
    <w:aliases w:val="H3,chapitre 1.1.1,Niveau 3,Niveau3,Contrat 3,h3,TITRE 3,Paragraphe 1,l3,CT,3,Titre 3 SQ,T3,Section,Section1,Section2,Section3,Section4,Section5,Section6,Section7,Section8,Section9,Section10,Section11,Section12,Section21,Section31,Section41,t3.T3"/>
    <w:next w:val="Titre2"/>
    <w:link w:val="Titre3Car"/>
    <w:qFormat/>
    <w:rsid w:val="003615E2"/>
    <w:pPr>
      <w:numPr>
        <w:ilvl w:val="2"/>
        <w:numId w:val="1"/>
      </w:numPr>
      <w:tabs>
        <w:tab w:val="left" w:pos="567"/>
      </w:tabs>
      <w:outlineLvl w:val="2"/>
    </w:pPr>
    <w:rPr>
      <w:rFonts w:ascii="Century Gothic" w:hAnsi="Century Gothic" w:cs="Arial"/>
      <w:b/>
      <w:noProof/>
      <w:sz w:val="22"/>
      <w:szCs w:val="24"/>
      <w:u w:val="single"/>
    </w:rPr>
  </w:style>
  <w:style w:type="paragraph" w:styleId="Titre4">
    <w:name w:val="heading 4"/>
    <w:basedOn w:val="Titre3"/>
    <w:next w:val="Normal"/>
    <w:qFormat/>
    <w:rsid w:val="00AF43B4"/>
    <w:pPr>
      <w:outlineLvl w:val="3"/>
    </w:pPr>
    <w:rPr>
      <w:rFonts w:ascii="Open Sans" w:hAnsi="Open Sans" w:cs="Open Sans"/>
    </w:rPr>
  </w:style>
  <w:style w:type="paragraph" w:styleId="Titre5">
    <w:name w:val="heading 5"/>
    <w:basedOn w:val="Normal"/>
    <w:next w:val="Normal"/>
    <w:autoRedefine/>
    <w:qFormat/>
    <w:rsid w:val="005E2F88"/>
    <w:pPr>
      <w:keepNext/>
      <w:spacing w:before="240" w:after="240"/>
      <w:jc w:val="left"/>
      <w:outlineLvl w:val="4"/>
    </w:pPr>
    <w:rPr>
      <w:rFonts w:ascii="Open Sans" w:hAnsi="Open Sans" w:cs="Open Sans"/>
      <w:b/>
      <w:color w:val="auto"/>
      <w:u w:val="single"/>
    </w:rPr>
  </w:style>
  <w:style w:type="paragraph" w:styleId="Titre6">
    <w:name w:val="heading 6"/>
    <w:aliases w:val="H6,Bullet list,T6,(Shift Ctrl 6),Cadre en tête,Annexe1,Annexe 1,Annexe 11,Annexe 12,Annexe 13,Annexe 14,Annexe 15,Annexe 16,Annexe 17,Ref Heading 3,rh3,Ref Heading 31,rh31,H61,h6,Third Subheading,6,Alinéa,Titre 6 (procédure),Heading6,h61,h62,s"/>
    <w:basedOn w:val="Normal"/>
    <w:next w:val="Normal"/>
    <w:qFormat/>
    <w:pPr>
      <w:keepNext/>
      <w:numPr>
        <w:ilvl w:val="5"/>
        <w:numId w:val="1"/>
      </w:numPr>
      <w:outlineLvl w:val="5"/>
    </w:pPr>
    <w:rPr>
      <w:i/>
      <w:color w:val="0000FF"/>
      <w:sz w:val="24"/>
    </w:rPr>
  </w:style>
  <w:style w:type="paragraph" w:styleId="Titre7">
    <w:name w:val="heading 7"/>
    <w:aliases w:val="letter list,lettered list,T7,Annexe2,Aston T7,letter list1,lettered list1,Legal Level 1.1.,H7,Annexe 21,Annexe 22,Annexe 23,Annexe 24,Annexe 25,Annexe 26,Annexe 27,L1 Heading 7,7,ExhibitTitle,Objective,heading7,req3,st,PIM 7,letter lis"/>
    <w:basedOn w:val="Normal"/>
    <w:next w:val="Normal"/>
    <w:qFormat/>
    <w:pPr>
      <w:keepNext/>
      <w:numPr>
        <w:ilvl w:val="6"/>
        <w:numId w:val="1"/>
      </w:numPr>
      <w:outlineLvl w:val="6"/>
    </w:pPr>
    <w:rPr>
      <w:sz w:val="24"/>
    </w:rPr>
  </w:style>
  <w:style w:type="paragraph" w:styleId="Titre8">
    <w:name w:val="heading 8"/>
    <w:aliases w:val="T8,action, action,Annexe3,Aston Légende,Legal Level 1.1.1.,Annexe 2,Annexe 31,Annexe 32,Annexe 33,Annexe 34,Annexe 35,Annexe 36,Annexe 37,L1 Heading 8,8,FigureTitle,Condition,requirement,req2,req,Center Bold,action1,action2,action3,t,T"/>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aliases w:val="Titre 10,App Heading,Appendix,progress, progress,Annexe4,Titre Annexe,Legal Level 1.1.1.1.,Annexe 3,Annexe 4,Annexe 41,Annexe 42,Annexe 43,Annexe 44,Annexe 45,Annexe 46,Annexe 47,titre l1c1,titre l1c11,titre l1c12,titre l1c13,titre l1c"/>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semiHidden/>
  </w:style>
  <w:style w:type="paragraph" w:styleId="TM2">
    <w:name w:val="toc 2"/>
    <w:basedOn w:val="Normal"/>
    <w:next w:val="Normal"/>
    <w:autoRedefine/>
    <w:uiPriority w:val="39"/>
    <w:pPr>
      <w:ind w:left="200"/>
    </w:pPr>
  </w:style>
  <w:style w:type="paragraph" w:styleId="TM3">
    <w:name w:val="toc 3"/>
    <w:basedOn w:val="Normal"/>
    <w:next w:val="Normal"/>
    <w:autoRedefine/>
    <w:uiPriority w:val="39"/>
    <w:rsid w:val="009453C5"/>
    <w:pPr>
      <w:tabs>
        <w:tab w:val="left" w:pos="1200"/>
        <w:tab w:val="right" w:leader="dot" w:pos="9061"/>
      </w:tabs>
      <w:ind w:left="400"/>
    </w:pPr>
    <w:rPr>
      <w:rFonts w:ascii="Century Gothic" w:hAnsi="Century Gothic"/>
      <w:noProof/>
      <w:color w:val="auto"/>
    </w:rPr>
  </w:style>
  <w:style w:type="paragraph" w:customStyle="1" w:styleId="Style1">
    <w:name w:val="Style1"/>
    <w:basedOn w:val="Normal"/>
    <w:autoRedefine/>
    <w:rsid w:val="00AF43B4"/>
    <w:pPr>
      <w:spacing w:line="360" w:lineRule="auto"/>
      <w:jc w:val="center"/>
    </w:pPr>
    <w:rPr>
      <w:rFonts w:ascii="Open Sans" w:hAnsi="Open Sans" w:cs="Open Sans"/>
      <w:b/>
      <w:sz w:val="28"/>
      <w:szCs w:val="40"/>
      <w:u w:val="single"/>
    </w:rPr>
  </w:style>
  <w:style w:type="paragraph" w:customStyle="1" w:styleId="Normal2">
    <w:name w:val="Normal2"/>
    <w:basedOn w:val="Normal"/>
    <w:link w:val="Normal2Car"/>
    <w:pPr>
      <w:ind w:left="142"/>
    </w:pPr>
    <w:rPr>
      <w:i/>
    </w:rPr>
  </w:style>
  <w:style w:type="paragraph" w:styleId="Retraitcorpsdetexte">
    <w:name w:val="Body Text Indent"/>
    <w:basedOn w:val="Normal"/>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rPr>
      <w:color w:val="FF0000"/>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character" w:styleId="Accentuation">
    <w:name w:val="Emphasis"/>
    <w:uiPriority w:val="20"/>
    <w:qFormat/>
    <w:rPr>
      <w:i/>
      <w:iCs/>
    </w:rPr>
  </w:style>
  <w:style w:type="character" w:styleId="lev">
    <w:name w:val="Strong"/>
    <w:uiPriority w:val="22"/>
    <w:qFormat/>
    <w:rPr>
      <w:b/>
      <w:bCs/>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Textedebulles">
    <w:name w:val="Balloon Text"/>
    <w:basedOn w:val="Normal"/>
    <w:link w:val="TextedebullesCar"/>
    <w:rsid w:val="00D50F38"/>
    <w:rPr>
      <w:rFonts w:ascii="Tahoma" w:hAnsi="Tahoma" w:cs="Tahoma"/>
      <w:sz w:val="16"/>
      <w:szCs w:val="16"/>
    </w:rPr>
  </w:style>
  <w:style w:type="character" w:customStyle="1" w:styleId="TextedebullesCar">
    <w:name w:val="Texte de bulles Car"/>
    <w:link w:val="Textedebulles"/>
    <w:rsid w:val="00D50F38"/>
    <w:rPr>
      <w:rFonts w:ascii="Tahoma" w:hAnsi="Tahoma" w:cs="Tahoma"/>
      <w:color w:val="000000"/>
      <w:sz w:val="16"/>
      <w:szCs w:val="16"/>
    </w:rPr>
  </w:style>
  <w:style w:type="character" w:styleId="Marquedecommentaire">
    <w:name w:val="annotation reference"/>
    <w:rsid w:val="00B41758"/>
    <w:rPr>
      <w:sz w:val="16"/>
      <w:szCs w:val="16"/>
    </w:rPr>
  </w:style>
  <w:style w:type="paragraph" w:styleId="Commentaire">
    <w:name w:val="annotation text"/>
    <w:basedOn w:val="Normal"/>
    <w:link w:val="CommentaireCar"/>
    <w:rsid w:val="00B41758"/>
  </w:style>
  <w:style w:type="character" w:customStyle="1" w:styleId="CommentaireCar">
    <w:name w:val="Commentaire Car"/>
    <w:link w:val="Commentaire"/>
    <w:rsid w:val="00B41758"/>
    <w:rPr>
      <w:rFonts w:ascii="Arial" w:hAnsi="Arial"/>
      <w:color w:val="000000"/>
    </w:rPr>
  </w:style>
  <w:style w:type="paragraph" w:styleId="Objetducommentaire">
    <w:name w:val="annotation subject"/>
    <w:basedOn w:val="Commentaire"/>
    <w:next w:val="Commentaire"/>
    <w:link w:val="ObjetducommentaireCar"/>
    <w:rsid w:val="00B41758"/>
    <w:rPr>
      <w:b/>
      <w:bCs/>
    </w:rPr>
  </w:style>
  <w:style w:type="character" w:customStyle="1" w:styleId="ObjetducommentaireCar">
    <w:name w:val="Objet du commentaire Car"/>
    <w:link w:val="Objetducommentaire"/>
    <w:rsid w:val="00B41758"/>
    <w:rPr>
      <w:rFonts w:ascii="Arial" w:hAnsi="Arial"/>
      <w:b/>
      <w:bCs/>
      <w:color w:val="000000"/>
    </w:rPr>
  </w:style>
  <w:style w:type="table" w:styleId="Grilledutableau">
    <w:name w:val="Table Grid"/>
    <w:basedOn w:val="TableauNormal"/>
    <w:uiPriority w:val="39"/>
    <w:rsid w:val="009C5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link w:val="Pieddepage"/>
    <w:rsid w:val="00B31B73"/>
    <w:rPr>
      <w:rFonts w:ascii="Arial" w:hAnsi="Arial"/>
      <w:color w:val="000000"/>
    </w:rPr>
  </w:style>
  <w:style w:type="character" w:customStyle="1" w:styleId="Titre3Car">
    <w:name w:val="Titre 3 Car"/>
    <w:aliases w:val="H3 Car,chapitre 1.1.1 Car,Niveau 3 Car,Niveau3 Car,Contrat 3 Car,h3 Car,TITRE 3 Car,Paragraphe 1 Car,l3 Car,CT Car,3 Car,Titre 3 SQ Car,T3 Car,Section Car,Section1 Car,Section2 Car,Section3 Car,Section4 Car,Section5 Car,Section6 Car"/>
    <w:link w:val="Titre3"/>
    <w:rsid w:val="003615E2"/>
    <w:rPr>
      <w:rFonts w:ascii="Century Gothic" w:hAnsi="Century Gothic" w:cs="Arial"/>
      <w:b/>
      <w:noProof/>
      <w:sz w:val="22"/>
      <w:szCs w:val="24"/>
      <w:u w:val="single"/>
    </w:rPr>
  </w:style>
  <w:style w:type="paragraph" w:customStyle="1" w:styleId="Car">
    <w:name w:val="Car"/>
    <w:basedOn w:val="Normal"/>
    <w:rsid w:val="0071268E"/>
    <w:pPr>
      <w:widowControl w:val="0"/>
      <w:overflowPunct w:val="0"/>
      <w:autoSpaceDE w:val="0"/>
      <w:autoSpaceDN w:val="0"/>
      <w:adjustRightInd w:val="0"/>
      <w:spacing w:before="100" w:beforeAutospacing="1" w:after="100" w:afterAutospacing="1" w:line="240" w:lineRule="exact"/>
    </w:pPr>
    <w:rPr>
      <w:rFonts w:ascii="Tahoma" w:hAnsi="Tahoma" w:cs="Tahoma"/>
      <w:color w:val="auto"/>
      <w:lang w:val="en-US" w:eastAsia="en-US"/>
    </w:rPr>
  </w:style>
  <w:style w:type="paragraph" w:styleId="Paragraphedeliste">
    <w:name w:val="List Paragraph"/>
    <w:basedOn w:val="Normal"/>
    <w:link w:val="ParagraphedelisteCar"/>
    <w:uiPriority w:val="1"/>
    <w:qFormat/>
    <w:rsid w:val="0071268E"/>
    <w:pPr>
      <w:ind w:left="720"/>
      <w:contextualSpacing/>
    </w:pPr>
  </w:style>
  <w:style w:type="character" w:customStyle="1" w:styleId="Normal2Car">
    <w:name w:val="Normal2 Car"/>
    <w:link w:val="Normal2"/>
    <w:rsid w:val="00AE2977"/>
    <w:rPr>
      <w:rFonts w:ascii="Arial" w:hAnsi="Arial"/>
      <w:i/>
      <w:color w:val="000000"/>
    </w:rPr>
  </w:style>
  <w:style w:type="paragraph" w:customStyle="1" w:styleId="RedTxt">
    <w:name w:val="RedTxt"/>
    <w:basedOn w:val="Normal"/>
    <w:rsid w:val="00403B99"/>
    <w:pPr>
      <w:keepLines/>
      <w:widowControl w:val="0"/>
      <w:autoSpaceDE w:val="0"/>
      <w:autoSpaceDN w:val="0"/>
      <w:adjustRightInd w:val="0"/>
      <w:jc w:val="left"/>
    </w:pPr>
    <w:rPr>
      <w:rFonts w:cs="Arial"/>
      <w:color w:val="auto"/>
      <w:sz w:val="18"/>
      <w:szCs w:val="18"/>
    </w:rPr>
  </w:style>
  <w:style w:type="paragraph" w:customStyle="1" w:styleId="Normal1">
    <w:name w:val="Normal1"/>
    <w:basedOn w:val="Normal"/>
    <w:rsid w:val="00403B99"/>
    <w:pPr>
      <w:keepLines/>
      <w:tabs>
        <w:tab w:val="left" w:pos="284"/>
        <w:tab w:val="left" w:pos="567"/>
        <w:tab w:val="left" w:pos="851"/>
      </w:tabs>
      <w:ind w:firstLine="284"/>
    </w:pPr>
    <w:rPr>
      <w:rFonts w:ascii="Times New Roman" w:hAnsi="Times New Roman"/>
      <w:color w:val="auto"/>
      <w:sz w:val="22"/>
      <w:szCs w:val="22"/>
    </w:rPr>
  </w:style>
  <w:style w:type="paragraph" w:customStyle="1" w:styleId="bodytext2">
    <w:name w:val="bodytext2"/>
    <w:basedOn w:val="Normal"/>
    <w:uiPriority w:val="99"/>
    <w:rsid w:val="00A46199"/>
    <w:pPr>
      <w:spacing w:before="100" w:beforeAutospacing="1" w:after="100" w:afterAutospacing="1"/>
      <w:jc w:val="left"/>
    </w:pPr>
    <w:rPr>
      <w:rFonts w:ascii="Times New Roman" w:hAnsi="Times New Roman"/>
      <w:color w:val="auto"/>
      <w:sz w:val="24"/>
      <w:szCs w:val="24"/>
    </w:rPr>
  </w:style>
  <w:style w:type="paragraph" w:styleId="Retraitcorpsdetexte3">
    <w:name w:val="Body Text Indent 3"/>
    <w:basedOn w:val="Normal"/>
    <w:link w:val="Retraitcorpsdetexte3Car"/>
    <w:semiHidden/>
    <w:unhideWhenUsed/>
    <w:rsid w:val="00A46199"/>
    <w:pPr>
      <w:spacing w:after="120"/>
      <w:ind w:left="283"/>
    </w:pPr>
    <w:rPr>
      <w:sz w:val="16"/>
      <w:szCs w:val="16"/>
    </w:rPr>
  </w:style>
  <w:style w:type="character" w:customStyle="1" w:styleId="Retraitcorpsdetexte3Car">
    <w:name w:val="Retrait corps de texte 3 Car"/>
    <w:link w:val="Retraitcorpsdetexte3"/>
    <w:semiHidden/>
    <w:rsid w:val="00A46199"/>
    <w:rPr>
      <w:rFonts w:ascii="Arial" w:hAnsi="Arial"/>
      <w:color w:val="000000"/>
      <w:sz w:val="16"/>
      <w:szCs w:val="16"/>
    </w:rPr>
  </w:style>
  <w:style w:type="paragraph" w:styleId="NormalWeb">
    <w:name w:val="Normal (Web)"/>
    <w:basedOn w:val="Normal"/>
    <w:uiPriority w:val="99"/>
    <w:unhideWhenUsed/>
    <w:rsid w:val="004F0392"/>
    <w:pPr>
      <w:spacing w:after="120"/>
      <w:jc w:val="left"/>
    </w:pPr>
    <w:rPr>
      <w:rFonts w:ascii="Times New Roman" w:hAnsi="Times New Roman"/>
      <w:color w:val="auto"/>
      <w:sz w:val="24"/>
      <w:szCs w:val="24"/>
    </w:rPr>
  </w:style>
  <w:style w:type="paragraph" w:customStyle="1" w:styleId="Default">
    <w:name w:val="Default"/>
    <w:rsid w:val="00F042CC"/>
    <w:pPr>
      <w:autoSpaceDE w:val="0"/>
      <w:autoSpaceDN w:val="0"/>
      <w:adjustRightInd w:val="0"/>
    </w:pPr>
    <w:rPr>
      <w:rFonts w:ascii="Century Gothic" w:eastAsiaTheme="minorHAnsi" w:hAnsi="Century Gothic" w:cs="Century Gothic"/>
      <w:color w:val="000000"/>
      <w:sz w:val="24"/>
      <w:szCs w:val="24"/>
      <w:lang w:eastAsia="en-US"/>
    </w:rPr>
  </w:style>
  <w:style w:type="character" w:styleId="Mentionnonrsolue">
    <w:name w:val="Unresolved Mention"/>
    <w:basedOn w:val="Policepardfaut"/>
    <w:uiPriority w:val="99"/>
    <w:semiHidden/>
    <w:unhideWhenUsed/>
    <w:rsid w:val="00567B84"/>
    <w:rPr>
      <w:color w:val="605E5C"/>
      <w:shd w:val="clear" w:color="auto" w:fill="E1DFDD"/>
    </w:rPr>
  </w:style>
  <w:style w:type="paragraph" w:customStyle="1" w:styleId="Style2">
    <w:name w:val="Style2"/>
    <w:basedOn w:val="Normal"/>
    <w:link w:val="Style2Car"/>
    <w:qFormat/>
    <w:rsid w:val="00146705"/>
    <w:pPr>
      <w:autoSpaceDE w:val="0"/>
      <w:autoSpaceDN w:val="0"/>
      <w:adjustRightInd w:val="0"/>
      <w:spacing w:after="200"/>
    </w:pPr>
    <w:rPr>
      <w:rFonts w:ascii="Open Sans" w:hAnsi="Open Sans" w:cs="Open Sans"/>
      <w:b/>
      <w:bCs/>
      <w:color w:val="FF0000"/>
      <w:sz w:val="18"/>
      <w:szCs w:val="18"/>
    </w:rPr>
  </w:style>
  <w:style w:type="character" w:customStyle="1" w:styleId="ParagraphedelisteCar">
    <w:name w:val="Paragraphe de liste Car"/>
    <w:basedOn w:val="Policepardfaut"/>
    <w:link w:val="Paragraphedeliste"/>
    <w:uiPriority w:val="1"/>
    <w:rsid w:val="001F7C91"/>
    <w:rPr>
      <w:rFonts w:ascii="Arial" w:hAnsi="Arial"/>
      <w:color w:val="000000"/>
    </w:rPr>
  </w:style>
  <w:style w:type="character" w:customStyle="1" w:styleId="Style2Car">
    <w:name w:val="Style2 Car"/>
    <w:basedOn w:val="Policepardfaut"/>
    <w:link w:val="Style2"/>
    <w:rsid w:val="00146705"/>
    <w:rPr>
      <w:rFonts w:ascii="Open Sans" w:hAnsi="Open Sans" w:cs="Open Sans"/>
      <w:b/>
      <w:bCs/>
      <w:color w:val="FF0000"/>
      <w:sz w:val="18"/>
      <w:szCs w:val="18"/>
    </w:rPr>
  </w:style>
  <w:style w:type="paragraph" w:styleId="Rvision">
    <w:name w:val="Revision"/>
    <w:hidden/>
    <w:uiPriority w:val="99"/>
    <w:semiHidden/>
    <w:rsid w:val="009F2386"/>
    <w:rPr>
      <w:rFonts w:ascii="Arial" w:hAnsi="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5512">
      <w:bodyDiv w:val="1"/>
      <w:marLeft w:val="0"/>
      <w:marRight w:val="0"/>
      <w:marTop w:val="0"/>
      <w:marBottom w:val="0"/>
      <w:divBdr>
        <w:top w:val="none" w:sz="0" w:space="0" w:color="auto"/>
        <w:left w:val="none" w:sz="0" w:space="0" w:color="auto"/>
        <w:bottom w:val="none" w:sz="0" w:space="0" w:color="auto"/>
        <w:right w:val="none" w:sz="0" w:space="0" w:color="auto"/>
      </w:divBdr>
    </w:div>
    <w:div w:id="229121193">
      <w:bodyDiv w:val="1"/>
      <w:marLeft w:val="0"/>
      <w:marRight w:val="0"/>
      <w:marTop w:val="0"/>
      <w:marBottom w:val="0"/>
      <w:divBdr>
        <w:top w:val="none" w:sz="0" w:space="0" w:color="auto"/>
        <w:left w:val="none" w:sz="0" w:space="0" w:color="auto"/>
        <w:bottom w:val="none" w:sz="0" w:space="0" w:color="auto"/>
        <w:right w:val="none" w:sz="0" w:space="0" w:color="auto"/>
      </w:divBdr>
    </w:div>
    <w:div w:id="411584600">
      <w:bodyDiv w:val="1"/>
      <w:marLeft w:val="0"/>
      <w:marRight w:val="0"/>
      <w:marTop w:val="0"/>
      <w:marBottom w:val="0"/>
      <w:divBdr>
        <w:top w:val="none" w:sz="0" w:space="0" w:color="auto"/>
        <w:left w:val="none" w:sz="0" w:space="0" w:color="auto"/>
        <w:bottom w:val="none" w:sz="0" w:space="0" w:color="auto"/>
        <w:right w:val="none" w:sz="0" w:space="0" w:color="auto"/>
      </w:divBdr>
    </w:div>
    <w:div w:id="510921842">
      <w:bodyDiv w:val="1"/>
      <w:marLeft w:val="0"/>
      <w:marRight w:val="0"/>
      <w:marTop w:val="0"/>
      <w:marBottom w:val="0"/>
      <w:divBdr>
        <w:top w:val="none" w:sz="0" w:space="0" w:color="auto"/>
        <w:left w:val="none" w:sz="0" w:space="0" w:color="auto"/>
        <w:bottom w:val="none" w:sz="0" w:space="0" w:color="auto"/>
        <w:right w:val="none" w:sz="0" w:space="0" w:color="auto"/>
      </w:divBdr>
    </w:div>
    <w:div w:id="696194614">
      <w:bodyDiv w:val="1"/>
      <w:marLeft w:val="0"/>
      <w:marRight w:val="0"/>
      <w:marTop w:val="0"/>
      <w:marBottom w:val="0"/>
      <w:divBdr>
        <w:top w:val="none" w:sz="0" w:space="0" w:color="auto"/>
        <w:left w:val="none" w:sz="0" w:space="0" w:color="auto"/>
        <w:bottom w:val="none" w:sz="0" w:space="0" w:color="auto"/>
        <w:right w:val="none" w:sz="0" w:space="0" w:color="auto"/>
      </w:divBdr>
    </w:div>
    <w:div w:id="787624231">
      <w:bodyDiv w:val="1"/>
      <w:marLeft w:val="0"/>
      <w:marRight w:val="0"/>
      <w:marTop w:val="0"/>
      <w:marBottom w:val="0"/>
      <w:divBdr>
        <w:top w:val="none" w:sz="0" w:space="0" w:color="auto"/>
        <w:left w:val="none" w:sz="0" w:space="0" w:color="auto"/>
        <w:bottom w:val="none" w:sz="0" w:space="0" w:color="auto"/>
        <w:right w:val="none" w:sz="0" w:space="0" w:color="auto"/>
      </w:divBdr>
    </w:div>
    <w:div w:id="1114322221">
      <w:bodyDiv w:val="1"/>
      <w:marLeft w:val="0"/>
      <w:marRight w:val="0"/>
      <w:marTop w:val="0"/>
      <w:marBottom w:val="0"/>
      <w:divBdr>
        <w:top w:val="none" w:sz="0" w:space="0" w:color="auto"/>
        <w:left w:val="none" w:sz="0" w:space="0" w:color="auto"/>
        <w:bottom w:val="none" w:sz="0" w:space="0" w:color="auto"/>
        <w:right w:val="none" w:sz="0" w:space="0" w:color="auto"/>
      </w:divBdr>
      <w:divsChild>
        <w:div w:id="1830710658">
          <w:marLeft w:val="0"/>
          <w:marRight w:val="0"/>
          <w:marTop w:val="0"/>
          <w:marBottom w:val="0"/>
          <w:divBdr>
            <w:top w:val="none" w:sz="0" w:space="0" w:color="auto"/>
            <w:left w:val="none" w:sz="0" w:space="0" w:color="auto"/>
            <w:bottom w:val="none" w:sz="0" w:space="0" w:color="auto"/>
            <w:right w:val="none" w:sz="0" w:space="0" w:color="auto"/>
          </w:divBdr>
          <w:divsChild>
            <w:div w:id="717514548">
              <w:marLeft w:val="0"/>
              <w:marRight w:val="0"/>
              <w:marTop w:val="0"/>
              <w:marBottom w:val="0"/>
              <w:divBdr>
                <w:top w:val="none" w:sz="0" w:space="0" w:color="auto"/>
                <w:left w:val="none" w:sz="0" w:space="0" w:color="auto"/>
                <w:bottom w:val="none" w:sz="0" w:space="0" w:color="auto"/>
                <w:right w:val="none" w:sz="0" w:space="0" w:color="auto"/>
              </w:divBdr>
              <w:divsChild>
                <w:div w:id="1757089751">
                  <w:marLeft w:val="3300"/>
                  <w:marRight w:val="75"/>
                  <w:marTop w:val="0"/>
                  <w:marBottom w:val="0"/>
                  <w:divBdr>
                    <w:top w:val="none" w:sz="0" w:space="0" w:color="auto"/>
                    <w:left w:val="none" w:sz="0" w:space="0" w:color="auto"/>
                    <w:bottom w:val="none" w:sz="0" w:space="0" w:color="auto"/>
                    <w:right w:val="none" w:sz="0" w:space="0" w:color="auto"/>
                  </w:divBdr>
                  <w:divsChild>
                    <w:div w:id="1018196409">
                      <w:marLeft w:val="0"/>
                      <w:marRight w:val="0"/>
                      <w:marTop w:val="0"/>
                      <w:marBottom w:val="225"/>
                      <w:divBdr>
                        <w:top w:val="single" w:sz="6" w:space="8" w:color="004242"/>
                        <w:left w:val="single" w:sz="6" w:space="8" w:color="004242"/>
                        <w:bottom w:val="single" w:sz="6" w:space="8" w:color="004242"/>
                        <w:right w:val="single" w:sz="6" w:space="8" w:color="004242"/>
                      </w:divBdr>
                      <w:divsChild>
                        <w:div w:id="2031561552">
                          <w:marLeft w:val="0"/>
                          <w:marRight w:val="0"/>
                          <w:marTop w:val="0"/>
                          <w:marBottom w:val="0"/>
                          <w:divBdr>
                            <w:top w:val="none" w:sz="0" w:space="0" w:color="auto"/>
                            <w:left w:val="none" w:sz="0" w:space="0" w:color="auto"/>
                            <w:bottom w:val="none" w:sz="0" w:space="0" w:color="auto"/>
                            <w:right w:val="none" w:sz="0" w:space="0" w:color="auto"/>
                          </w:divBdr>
                          <w:divsChild>
                            <w:div w:id="20495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275930">
      <w:bodyDiv w:val="1"/>
      <w:marLeft w:val="0"/>
      <w:marRight w:val="0"/>
      <w:marTop w:val="0"/>
      <w:marBottom w:val="0"/>
      <w:divBdr>
        <w:top w:val="none" w:sz="0" w:space="0" w:color="auto"/>
        <w:left w:val="none" w:sz="0" w:space="0" w:color="auto"/>
        <w:bottom w:val="none" w:sz="0" w:space="0" w:color="auto"/>
        <w:right w:val="none" w:sz="0" w:space="0" w:color="auto"/>
      </w:divBdr>
    </w:div>
    <w:div w:id="1558004230">
      <w:bodyDiv w:val="1"/>
      <w:marLeft w:val="0"/>
      <w:marRight w:val="0"/>
      <w:marTop w:val="0"/>
      <w:marBottom w:val="0"/>
      <w:divBdr>
        <w:top w:val="none" w:sz="0" w:space="0" w:color="auto"/>
        <w:left w:val="none" w:sz="0" w:space="0" w:color="auto"/>
        <w:bottom w:val="none" w:sz="0" w:space="0" w:color="auto"/>
        <w:right w:val="none" w:sz="0" w:space="0" w:color="auto"/>
      </w:divBdr>
    </w:div>
    <w:div w:id="1568419389">
      <w:bodyDiv w:val="1"/>
      <w:marLeft w:val="0"/>
      <w:marRight w:val="0"/>
      <w:marTop w:val="0"/>
      <w:marBottom w:val="0"/>
      <w:divBdr>
        <w:top w:val="none" w:sz="0" w:space="0" w:color="auto"/>
        <w:left w:val="none" w:sz="0" w:space="0" w:color="auto"/>
        <w:bottom w:val="none" w:sz="0" w:space="0" w:color="auto"/>
        <w:right w:val="none" w:sz="0" w:space="0" w:color="auto"/>
      </w:divBdr>
    </w:div>
    <w:div w:id="1836846597">
      <w:bodyDiv w:val="1"/>
      <w:marLeft w:val="0"/>
      <w:marRight w:val="0"/>
      <w:marTop w:val="0"/>
      <w:marBottom w:val="0"/>
      <w:divBdr>
        <w:top w:val="none" w:sz="0" w:space="0" w:color="auto"/>
        <w:left w:val="none" w:sz="0" w:space="0" w:color="auto"/>
        <w:bottom w:val="none" w:sz="0" w:space="0" w:color="auto"/>
        <w:right w:val="none" w:sz="0" w:space="0" w:color="auto"/>
      </w:divBdr>
    </w:div>
    <w:div w:id="1873155568">
      <w:bodyDiv w:val="1"/>
      <w:marLeft w:val="0"/>
      <w:marRight w:val="0"/>
      <w:marTop w:val="0"/>
      <w:marBottom w:val="0"/>
      <w:divBdr>
        <w:top w:val="none" w:sz="0" w:space="0" w:color="auto"/>
        <w:left w:val="none" w:sz="0" w:space="0" w:color="auto"/>
        <w:bottom w:val="none" w:sz="0" w:space="0" w:color="auto"/>
        <w:right w:val="none" w:sz="0" w:space="0" w:color="auto"/>
      </w:divBdr>
    </w:div>
    <w:div w:id="1929389636">
      <w:bodyDiv w:val="1"/>
      <w:marLeft w:val="0"/>
      <w:marRight w:val="0"/>
      <w:marTop w:val="0"/>
      <w:marBottom w:val="0"/>
      <w:divBdr>
        <w:top w:val="none" w:sz="0" w:space="0" w:color="auto"/>
        <w:left w:val="none" w:sz="0" w:space="0" w:color="auto"/>
        <w:bottom w:val="none" w:sz="0" w:space="0" w:color="auto"/>
        <w:right w:val="none" w:sz="0" w:space="0" w:color="auto"/>
      </w:divBdr>
    </w:div>
    <w:div w:id="197113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https://campus-hopital-grandparis-nord.fr/" TargetMode="External"/><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hyperlink" Target="mailto:mediation.interne.aca@aphp.fr)" TargetMode="External"/><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rvice.pilotage.marches.aca@aphp.fr" TargetMode="External"/><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Expression%20des%20Besoins\Doc%20type\Expression%20des%20besoins\CCP-RC-AE\CC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CF0E6C91D2684CB4346C6DFEE6C1ED" ma:contentTypeVersion="4" ma:contentTypeDescription="Crée un document." ma:contentTypeScope="" ma:versionID="aeba91fcb559691d4965c03238bc1629">
  <xsd:schema xmlns:xsd="http://www.w3.org/2001/XMLSchema" xmlns:xs="http://www.w3.org/2001/XMLSchema" xmlns:p="http://schemas.microsoft.com/office/2006/metadata/properties" xmlns:ns2="74eab65e-3088-4be0-812e-32eda450bc9e" targetNamespace="http://schemas.microsoft.com/office/2006/metadata/properties" ma:root="true" ma:fieldsID="a062b942f251c6155b343c7cdb322abb" ns2:_="">
    <xsd:import namespace="74eab65e-3088-4be0-812e-32eda450bc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ab65e-3088-4be0-812e-32eda450bc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77E173-76CD-44BF-85B3-E3164EA2A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ab65e-3088-4be0-812e-32eda450bc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2B50F5-908D-46FE-AA29-0143B59C4E1F}">
  <ds:schemaRefs>
    <ds:schemaRef ds:uri="http://schemas.openxmlformats.org/officeDocument/2006/bibliography"/>
  </ds:schemaRefs>
</ds:datastoreItem>
</file>

<file path=customXml/itemProps3.xml><?xml version="1.0" encoding="utf-8"?>
<ds:datastoreItem xmlns:ds="http://schemas.openxmlformats.org/officeDocument/2006/customXml" ds:itemID="{3183887F-A8E9-4F35-895A-2710D2F17BC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E70D3AC-230E-40E7-8619-8D303B6996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CCP</Template>
  <TotalTime>16</TotalTime>
  <Pages>28</Pages>
  <Words>9324</Words>
  <Characters>52065</Characters>
  <Application>Microsoft Office Word</Application>
  <DocSecurity>0</DocSecurity>
  <Lines>433</Lines>
  <Paragraphs>122</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DACHA</Company>
  <LinksUpToDate>false</LinksUpToDate>
  <CharactersWithSpaces>61267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subject/>
  <dc:creator>Nathalie_D</dc:creator>
  <cp:keywords/>
  <dc:description/>
  <cp:lastModifiedBy>CORNET Mickael</cp:lastModifiedBy>
  <cp:revision>6</cp:revision>
  <cp:lastPrinted>2019-04-17T12:52:00Z</cp:lastPrinted>
  <dcterms:created xsi:type="dcterms:W3CDTF">2026-08-10T19:49:00Z</dcterms:created>
  <dcterms:modified xsi:type="dcterms:W3CDTF">2026-08-17T08:57:00Z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0x010100E9CF0E6C91D2684CB4346C6DFEE6C1ED</vt:lpwstr>
  </property>
  <property fmtid="{D5CDD505-2E9C-101B-9397-08002B2CF9AE}" pid="3" name="ClassificationContentMarkingFooterShapeIds">
    <vt:lpwstr>4502052e,6b6d86e2,517168bf,97a32f,1725ad33,490e6378</vt:lpwstr>
  </property>
  <property fmtid="{D5CDD505-2E9C-101B-9397-08002B2CF9AE}" pid="4" name="ClassificationContentMarkingFooterFontProps">
    <vt:lpwstr>#000000,10,Calibri</vt:lpwstr>
  </property>
  <property fmtid="{D5CDD505-2E9C-101B-9397-08002B2CF9AE}" pid="5" name="ClassificationContentMarkingFooterText">
    <vt:lpwstr>C1 - Interne</vt:lpwstr>
  </property>
  <property fmtid="{D5CDD505-2E9C-101B-9397-08002B2CF9AE}" pid="6" name="MSIP_Label_591d6119-873b-4397-8a13-8f0b0381b9bf_Enabled">
    <vt:lpwstr>true</vt:lpwstr>
  </property>
  <property fmtid="{D5CDD505-2E9C-101B-9397-08002B2CF9AE}" pid="7" name="MSIP_Label_591d6119-873b-4397-8a13-8f0b0381b9bf_SetDate">
    <vt:lpwstr>2025-04-03T08:35:08Z</vt:lpwstr>
  </property>
  <property fmtid="{D5CDD505-2E9C-101B-9397-08002B2CF9AE}" pid="8" name="MSIP_Label_591d6119-873b-4397-8a13-8f0b0381b9bf_Method">
    <vt:lpwstr>Standard</vt:lpwstr>
  </property>
  <property fmtid="{D5CDD505-2E9C-101B-9397-08002B2CF9AE}" pid="9" name="MSIP_Label_591d6119-873b-4397-8a13-8f0b0381b9bf_Name">
    <vt:lpwstr>C1 - Interne</vt:lpwstr>
  </property>
  <property fmtid="{D5CDD505-2E9C-101B-9397-08002B2CF9AE}" pid="10" name="MSIP_Label_591d6119-873b-4397-8a13-8f0b0381b9bf_SiteId">
    <vt:lpwstr>905eea10-a76c-4815-8160-ba433c63cfd5</vt:lpwstr>
  </property>
  <property fmtid="{D5CDD505-2E9C-101B-9397-08002B2CF9AE}" pid="11" name="MSIP_Label_591d6119-873b-4397-8a13-8f0b0381b9bf_ActionId">
    <vt:lpwstr>99ba55a5-0100-44e0-baaf-8bf58ada5c9b</vt:lpwstr>
  </property>
  <property fmtid="{D5CDD505-2E9C-101B-9397-08002B2CF9AE}" pid="12" name="MSIP_Label_591d6119-873b-4397-8a13-8f0b0381b9bf_ContentBits">
    <vt:lpwstr>2</vt:lpwstr>
  </property>
  <property fmtid="{D5CDD505-2E9C-101B-9397-08002B2CF9AE}" pid="13" name="MSIP_Label_591d6119-873b-4397-8a13-8f0b0381b9bf_Tag">
    <vt:lpwstr>10, 3, 0, 2</vt:lpwstr>
  </property>
</Properties>
</file>